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0"/>
        <w:ind w:left="110" w:right="0" w:firstLine="0"/>
        <w:jc w:val="left"/>
        <w:rPr>
          <w:i/>
          <w:sz w:val="20"/>
        </w:rPr>
      </w:pPr>
      <w:hyperlink r:id="rId6">
        <w:r>
          <w:rPr>
            <w:i/>
            <w:color w:val="231F20"/>
            <w:sz w:val="20"/>
          </w:rPr>
          <w:t>www.medicaljournalofcairouniversity.net</w:t>
        </w:r>
      </w:hyperlink>
    </w:p>
    <w:p>
      <w:pPr>
        <w:pStyle w:val="BodyText"/>
        <w:rPr>
          <w:i/>
        </w:rPr>
      </w:pPr>
    </w:p>
    <w:p>
      <w:pPr>
        <w:pStyle w:val="BodyText"/>
        <w:rPr>
          <w:i/>
        </w:rPr>
      </w:pPr>
    </w:p>
    <w:p>
      <w:pPr>
        <w:pStyle w:val="BodyText"/>
        <w:rPr>
          <w:i/>
        </w:rPr>
      </w:pPr>
    </w:p>
    <w:p>
      <w:pPr>
        <w:pStyle w:val="BodyText"/>
        <w:spacing w:before="4"/>
        <w:rPr>
          <w:i/>
          <w:sz w:val="30"/>
        </w:rPr>
      </w:pPr>
    </w:p>
    <w:p>
      <w:pPr>
        <w:pStyle w:val="Title"/>
        <w:spacing w:line="220" w:lineRule="auto"/>
      </w:pPr>
      <w:r>
        <w:rPr>
          <w:color w:val="231F20"/>
        </w:rPr>
        <w:t>Accuracy of C-Arm Guided Insertion of Ommaya Reservoir Tube in Recurrent Cystic Craniopharyngiomas</w:t>
      </w:r>
    </w:p>
    <w:p>
      <w:pPr>
        <w:spacing w:before="251"/>
        <w:ind w:left="110" w:right="0" w:firstLine="0"/>
        <w:jc w:val="left"/>
        <w:rPr>
          <w:sz w:val="20"/>
        </w:rPr>
      </w:pPr>
      <w:r>
        <w:rPr>
          <w:color w:val="231F20"/>
          <w:sz w:val="20"/>
        </w:rPr>
        <w:t>MOHAMMED ADAWI, M.D.; MAHMOUD WAHDAN, M.D. and MOHAMMED MOURAD, M.D.</w:t>
      </w:r>
    </w:p>
    <w:p>
      <w:pPr>
        <w:spacing w:before="109"/>
        <w:ind w:left="110" w:right="0" w:firstLine="0"/>
        <w:jc w:val="left"/>
        <w:rPr>
          <w:i/>
          <w:sz w:val="18"/>
        </w:rPr>
      </w:pPr>
      <w:r>
        <w:rPr>
          <w:i/>
          <w:color w:val="231F20"/>
          <w:sz w:val="18"/>
        </w:rPr>
        <w:t>The Department of Neurosurgery, Faculty of Medicine, Benha University, Egypt</w:t>
      </w:r>
    </w:p>
    <w:p>
      <w:pPr>
        <w:pStyle w:val="BodyText"/>
        <w:rPr>
          <w:i/>
          <w:sz w:val="20"/>
        </w:rPr>
      </w:pPr>
    </w:p>
    <w:p>
      <w:pPr>
        <w:pStyle w:val="BodyText"/>
        <w:rPr>
          <w:i/>
          <w:sz w:val="20"/>
        </w:rPr>
      </w:pPr>
    </w:p>
    <w:p>
      <w:pPr>
        <w:pStyle w:val="BodyText"/>
        <w:spacing w:before="7"/>
        <w:rPr>
          <w:i/>
          <w:sz w:val="21"/>
        </w:rPr>
      </w:pPr>
    </w:p>
    <w:p>
      <w:pPr>
        <w:spacing w:after="0"/>
        <w:rPr>
          <w:sz w:val="21"/>
        </w:rPr>
        <w:sectPr>
          <w:headerReference w:type="default" r:id="rId5"/>
          <w:type w:val="continuous"/>
          <w:pgSz w:w="11900" w:h="16820"/>
          <w:pgMar w:header="1266" w:top="1480" w:bottom="280" w:left="1080" w:right="1060"/>
          <w:pgNumType w:start="1"/>
        </w:sectPr>
      </w:pPr>
    </w:p>
    <w:p>
      <w:pPr>
        <w:pStyle w:val="Heading1"/>
        <w:ind w:left="1951" w:right="1884"/>
      </w:pPr>
      <w:r>
        <w:rPr>
          <w:color w:val="231F20"/>
        </w:rPr>
        <w:t>Abstract</w:t>
      </w:r>
    </w:p>
    <w:p>
      <w:pPr>
        <w:spacing w:line="232" w:lineRule="auto" w:before="159"/>
        <w:ind w:left="110" w:right="38" w:firstLine="311"/>
        <w:jc w:val="both"/>
        <w:rPr>
          <w:sz w:val="18"/>
        </w:rPr>
      </w:pPr>
      <w:r>
        <w:rPr>
          <w:i/>
          <w:color w:val="231F20"/>
          <w:sz w:val="18"/>
        </w:rPr>
        <w:t>Background: </w:t>
      </w:r>
      <w:r>
        <w:rPr>
          <w:color w:val="231F20"/>
          <w:sz w:val="18"/>
        </w:rPr>
        <w:t>Caniopharyngiomas in spite of being benign tumors they have a high rate of recurrence of which cysts constitute major component. Ommaya Reservoir System (ORS) is a simple manoeuvre for percutaneous drainage of cysts.</w:t>
      </w:r>
    </w:p>
    <w:p>
      <w:pPr>
        <w:spacing w:line="232" w:lineRule="auto" w:before="166"/>
        <w:ind w:left="110" w:right="40" w:firstLine="311"/>
        <w:jc w:val="both"/>
        <w:rPr>
          <w:sz w:val="18"/>
        </w:rPr>
      </w:pPr>
      <w:r>
        <w:rPr>
          <w:i/>
          <w:color w:val="231F20"/>
          <w:sz w:val="18"/>
        </w:rPr>
        <w:t>Aim of Study: </w:t>
      </w:r>
      <w:r>
        <w:rPr>
          <w:color w:val="231F20"/>
          <w:spacing w:val="-5"/>
          <w:sz w:val="18"/>
        </w:rPr>
        <w:t>To </w:t>
      </w:r>
      <w:r>
        <w:rPr>
          <w:color w:val="231F20"/>
          <w:sz w:val="18"/>
        </w:rPr>
        <w:t>evaluate the efficacy of using C-arm as  a </w:t>
      </w:r>
      <w:r>
        <w:rPr>
          <w:color w:val="231F20"/>
          <w:spacing w:val="4"/>
          <w:sz w:val="18"/>
        </w:rPr>
        <w:t>guiding </w:t>
      </w:r>
      <w:r>
        <w:rPr>
          <w:color w:val="231F20"/>
          <w:spacing w:val="3"/>
          <w:sz w:val="18"/>
        </w:rPr>
        <w:t>tool for </w:t>
      </w:r>
      <w:r>
        <w:rPr>
          <w:color w:val="231F20"/>
          <w:spacing w:val="4"/>
          <w:sz w:val="18"/>
        </w:rPr>
        <w:t>placement </w:t>
      </w:r>
      <w:r>
        <w:rPr>
          <w:color w:val="231F20"/>
          <w:spacing w:val="2"/>
          <w:sz w:val="18"/>
        </w:rPr>
        <w:t>of </w:t>
      </w:r>
      <w:r>
        <w:rPr>
          <w:color w:val="231F20"/>
          <w:spacing w:val="4"/>
          <w:sz w:val="18"/>
        </w:rPr>
        <w:t>Ommaya reservoir </w:t>
      </w:r>
      <w:r>
        <w:rPr>
          <w:color w:val="231F20"/>
          <w:spacing w:val="3"/>
          <w:sz w:val="18"/>
        </w:rPr>
        <w:t>tube </w:t>
      </w:r>
      <w:r>
        <w:rPr>
          <w:color w:val="231F20"/>
          <w:spacing w:val="5"/>
          <w:sz w:val="18"/>
        </w:rPr>
        <w:t>in </w:t>
      </w:r>
      <w:r>
        <w:rPr>
          <w:color w:val="231F20"/>
          <w:spacing w:val="2"/>
          <w:sz w:val="18"/>
        </w:rPr>
        <w:t>predominantly cystic recurrent</w:t>
      </w:r>
      <w:r>
        <w:rPr>
          <w:color w:val="231F20"/>
          <w:spacing w:val="20"/>
          <w:sz w:val="18"/>
        </w:rPr>
        <w:t> </w:t>
      </w:r>
      <w:r>
        <w:rPr>
          <w:color w:val="231F20"/>
          <w:spacing w:val="3"/>
          <w:sz w:val="18"/>
        </w:rPr>
        <w:t>craniopharyngiomas.</w:t>
      </w:r>
    </w:p>
    <w:p>
      <w:pPr>
        <w:spacing w:line="232" w:lineRule="auto" w:before="168"/>
        <w:ind w:left="110" w:right="38" w:firstLine="311"/>
        <w:jc w:val="both"/>
        <w:rPr>
          <w:sz w:val="18"/>
        </w:rPr>
      </w:pPr>
      <w:r>
        <w:rPr>
          <w:i/>
          <w:color w:val="231F20"/>
          <w:sz w:val="18"/>
        </w:rPr>
        <w:t>Patients and Methods: </w:t>
      </w:r>
      <w:r>
        <w:rPr>
          <w:color w:val="231F20"/>
          <w:sz w:val="18"/>
        </w:rPr>
        <w:t>This study included 8 patients with clinically symptomatic and radiologically confirmed recurrent craniopharyngioma with significant cystic part. These patients were treated by C-arm guided insertion of Ommaya reservoir tube. The technique is described in details. CT brain was obtained in the first post-operative night to assess the position of the tube. Post-operative clinical and radiological evaluations were compared to the pre-operative.</w:t>
      </w:r>
    </w:p>
    <w:p>
      <w:pPr>
        <w:spacing w:line="232" w:lineRule="auto" w:before="164"/>
        <w:ind w:left="110" w:right="38" w:firstLine="311"/>
        <w:jc w:val="both"/>
        <w:rPr>
          <w:sz w:val="18"/>
        </w:rPr>
      </w:pPr>
      <w:r>
        <w:rPr>
          <w:i/>
          <w:color w:val="231F20"/>
          <w:sz w:val="18"/>
        </w:rPr>
        <w:t>Results: </w:t>
      </w:r>
      <w:r>
        <w:rPr>
          <w:color w:val="231F20"/>
          <w:sz w:val="18"/>
        </w:rPr>
        <w:t>This study included 6 males and 2 females, ranging in age from 5 years to 38 years with mean age of 18.4 years. Headache was the most common presenting complaint, followed by visual impairment. All surgeries were performed with C-arm guidance and post-operative CT brain documented satisfactory position of the tube in 7 cases and only one case required second look surgery for repositioning of the tube with the same technique. Significant post-operative improve- ment of headache and visual symptoms were encountered in all cases due to decompression of the optic chiasm by cyst drainage.</w:t>
      </w:r>
    </w:p>
    <w:p>
      <w:pPr>
        <w:spacing w:line="232" w:lineRule="auto" w:before="162"/>
        <w:ind w:left="110" w:right="42" w:firstLine="311"/>
        <w:jc w:val="both"/>
        <w:rPr>
          <w:sz w:val="18"/>
        </w:rPr>
      </w:pPr>
      <w:r>
        <w:rPr>
          <w:i/>
          <w:color w:val="231F20"/>
          <w:sz w:val="18"/>
        </w:rPr>
        <w:t>Conclusion:</w:t>
      </w:r>
      <w:r>
        <w:rPr>
          <w:i/>
          <w:color w:val="231F20"/>
          <w:spacing w:val="-11"/>
          <w:sz w:val="18"/>
        </w:rPr>
        <w:t> </w:t>
      </w:r>
      <w:r>
        <w:rPr>
          <w:color w:val="231F20"/>
          <w:sz w:val="18"/>
        </w:rPr>
        <w:t>C-arm</w:t>
      </w:r>
      <w:r>
        <w:rPr>
          <w:color w:val="231F20"/>
          <w:spacing w:val="-10"/>
          <w:sz w:val="18"/>
        </w:rPr>
        <w:t> </w:t>
      </w:r>
      <w:r>
        <w:rPr>
          <w:color w:val="231F20"/>
          <w:sz w:val="18"/>
        </w:rPr>
        <w:t>assisted</w:t>
      </w:r>
      <w:r>
        <w:rPr>
          <w:color w:val="231F20"/>
          <w:spacing w:val="-10"/>
          <w:sz w:val="18"/>
        </w:rPr>
        <w:t> </w:t>
      </w:r>
      <w:r>
        <w:rPr>
          <w:color w:val="231F20"/>
          <w:sz w:val="18"/>
        </w:rPr>
        <w:t>insertion</w:t>
      </w:r>
      <w:r>
        <w:rPr>
          <w:color w:val="231F20"/>
          <w:spacing w:val="-10"/>
          <w:sz w:val="18"/>
        </w:rPr>
        <w:t> </w:t>
      </w:r>
      <w:r>
        <w:rPr>
          <w:color w:val="231F20"/>
          <w:sz w:val="18"/>
        </w:rPr>
        <w:t>of</w:t>
      </w:r>
      <w:r>
        <w:rPr>
          <w:color w:val="231F20"/>
          <w:spacing w:val="-10"/>
          <w:sz w:val="18"/>
        </w:rPr>
        <w:t> </w:t>
      </w:r>
      <w:r>
        <w:rPr>
          <w:color w:val="231F20"/>
          <w:sz w:val="18"/>
        </w:rPr>
        <w:t>Ommaya</w:t>
      </w:r>
      <w:r>
        <w:rPr>
          <w:color w:val="231F20"/>
          <w:spacing w:val="-10"/>
          <w:sz w:val="18"/>
        </w:rPr>
        <w:t> </w:t>
      </w:r>
      <w:r>
        <w:rPr>
          <w:color w:val="231F20"/>
          <w:sz w:val="18"/>
        </w:rPr>
        <w:t>reservoir </w:t>
      </w:r>
      <w:r>
        <w:rPr>
          <w:color w:val="231F20"/>
          <w:spacing w:val="2"/>
          <w:sz w:val="18"/>
        </w:rPr>
        <w:t>tube </w:t>
      </w:r>
      <w:r>
        <w:rPr>
          <w:color w:val="231F20"/>
          <w:sz w:val="18"/>
        </w:rPr>
        <w:t>is a </w:t>
      </w:r>
      <w:r>
        <w:rPr>
          <w:color w:val="231F20"/>
          <w:spacing w:val="2"/>
          <w:sz w:val="18"/>
        </w:rPr>
        <w:t>reliable method that </w:t>
      </w:r>
      <w:r>
        <w:rPr>
          <w:color w:val="231F20"/>
          <w:sz w:val="18"/>
        </w:rPr>
        <w:t>can </w:t>
      </w:r>
      <w:r>
        <w:rPr>
          <w:color w:val="231F20"/>
          <w:spacing w:val="2"/>
          <w:sz w:val="18"/>
        </w:rPr>
        <w:t>minimize </w:t>
      </w:r>
      <w:r>
        <w:rPr>
          <w:color w:val="231F20"/>
          <w:sz w:val="18"/>
        </w:rPr>
        <w:t>the </w:t>
      </w:r>
      <w:r>
        <w:rPr>
          <w:color w:val="231F20"/>
          <w:spacing w:val="2"/>
          <w:sz w:val="18"/>
        </w:rPr>
        <w:t>errors </w:t>
      </w:r>
      <w:r>
        <w:rPr>
          <w:color w:val="231F20"/>
          <w:sz w:val="18"/>
        </w:rPr>
        <w:t>of </w:t>
      </w:r>
      <w:r>
        <w:rPr>
          <w:color w:val="231F20"/>
          <w:spacing w:val="3"/>
          <w:sz w:val="18"/>
        </w:rPr>
        <w:t>free </w:t>
      </w:r>
      <w:r>
        <w:rPr>
          <w:color w:val="231F20"/>
          <w:spacing w:val="2"/>
          <w:sz w:val="18"/>
        </w:rPr>
        <w:t>hand</w:t>
      </w:r>
      <w:r>
        <w:rPr>
          <w:color w:val="231F20"/>
          <w:spacing w:val="10"/>
          <w:sz w:val="18"/>
        </w:rPr>
        <w:t> </w:t>
      </w:r>
      <w:r>
        <w:rPr>
          <w:color w:val="231F20"/>
          <w:spacing w:val="2"/>
          <w:sz w:val="18"/>
        </w:rPr>
        <w:t>technique</w:t>
      </w:r>
      <w:r>
        <w:rPr>
          <w:color w:val="231F20"/>
          <w:spacing w:val="10"/>
          <w:sz w:val="18"/>
        </w:rPr>
        <w:t> </w:t>
      </w:r>
      <w:r>
        <w:rPr>
          <w:color w:val="231F20"/>
          <w:sz w:val="18"/>
        </w:rPr>
        <w:t>and</w:t>
      </w:r>
      <w:r>
        <w:rPr>
          <w:color w:val="231F20"/>
          <w:spacing w:val="10"/>
          <w:sz w:val="18"/>
        </w:rPr>
        <w:t> </w:t>
      </w:r>
      <w:r>
        <w:rPr>
          <w:color w:val="231F20"/>
          <w:sz w:val="18"/>
        </w:rPr>
        <w:t>of</w:t>
      </w:r>
      <w:r>
        <w:rPr>
          <w:color w:val="231F20"/>
          <w:spacing w:val="10"/>
          <w:sz w:val="18"/>
        </w:rPr>
        <w:t> </w:t>
      </w:r>
      <w:r>
        <w:rPr>
          <w:color w:val="231F20"/>
          <w:spacing w:val="2"/>
          <w:sz w:val="18"/>
        </w:rPr>
        <w:t>special</w:t>
      </w:r>
      <w:r>
        <w:rPr>
          <w:color w:val="231F20"/>
          <w:spacing w:val="10"/>
          <w:sz w:val="18"/>
        </w:rPr>
        <w:t> </w:t>
      </w:r>
      <w:r>
        <w:rPr>
          <w:color w:val="231F20"/>
          <w:spacing w:val="2"/>
          <w:sz w:val="18"/>
        </w:rPr>
        <w:t>value</w:t>
      </w:r>
      <w:r>
        <w:rPr>
          <w:color w:val="231F20"/>
          <w:spacing w:val="10"/>
          <w:sz w:val="18"/>
        </w:rPr>
        <w:t> </w:t>
      </w:r>
      <w:r>
        <w:rPr>
          <w:color w:val="231F20"/>
          <w:sz w:val="18"/>
        </w:rPr>
        <w:t>in</w:t>
      </w:r>
      <w:r>
        <w:rPr>
          <w:color w:val="231F20"/>
          <w:spacing w:val="11"/>
          <w:sz w:val="18"/>
        </w:rPr>
        <w:t> </w:t>
      </w:r>
      <w:r>
        <w:rPr>
          <w:color w:val="231F20"/>
          <w:sz w:val="18"/>
        </w:rPr>
        <w:t>low</w:t>
      </w:r>
      <w:r>
        <w:rPr>
          <w:color w:val="231F20"/>
          <w:spacing w:val="10"/>
          <w:sz w:val="18"/>
        </w:rPr>
        <w:t> </w:t>
      </w:r>
      <w:r>
        <w:rPr>
          <w:color w:val="231F20"/>
          <w:spacing w:val="2"/>
          <w:sz w:val="18"/>
        </w:rPr>
        <w:t>facility</w:t>
      </w:r>
      <w:r>
        <w:rPr>
          <w:color w:val="231F20"/>
          <w:spacing w:val="10"/>
          <w:sz w:val="18"/>
        </w:rPr>
        <w:t> </w:t>
      </w:r>
      <w:r>
        <w:rPr>
          <w:color w:val="231F20"/>
          <w:spacing w:val="3"/>
          <w:sz w:val="18"/>
        </w:rPr>
        <w:t>centers.</w:t>
      </w:r>
    </w:p>
    <w:p>
      <w:pPr>
        <w:spacing w:before="162"/>
        <w:ind w:left="110" w:right="0" w:firstLine="0"/>
        <w:jc w:val="both"/>
        <w:rPr>
          <w:i/>
          <w:sz w:val="18"/>
        </w:rPr>
      </w:pPr>
      <w:r>
        <w:rPr>
          <w:b/>
          <w:i/>
          <w:color w:val="231F20"/>
          <w:sz w:val="18"/>
        </w:rPr>
        <w:t>Key Words: </w:t>
      </w:r>
      <w:r>
        <w:rPr>
          <w:i/>
          <w:color w:val="231F20"/>
          <w:sz w:val="18"/>
        </w:rPr>
        <w:t>Caniopharyngioma – Cyst – Ommaya reservoir.</w:t>
      </w:r>
    </w:p>
    <w:p>
      <w:pPr>
        <w:pStyle w:val="Heading1"/>
        <w:spacing w:before="166"/>
        <w:ind w:left="1755"/>
        <w:jc w:val="left"/>
      </w:pPr>
      <w:r>
        <w:rPr>
          <w:color w:val="231F20"/>
        </w:rPr>
        <w:t>Introduction</w:t>
      </w:r>
    </w:p>
    <w:p>
      <w:pPr>
        <w:pStyle w:val="BodyText"/>
        <w:spacing w:line="228" w:lineRule="auto" w:before="167"/>
        <w:ind w:left="110" w:right="39"/>
        <w:jc w:val="both"/>
      </w:pPr>
      <w:r>
        <w:rPr>
          <w:b/>
          <w:color w:val="231F20"/>
        </w:rPr>
        <w:t>RECURRENCES </w:t>
      </w:r>
      <w:r>
        <w:rPr>
          <w:color w:val="231F20"/>
        </w:rPr>
        <w:t>of craniopharyngioma are a fact of life. The rate of recurrence may be as high as 40% in some series </w:t>
      </w:r>
      <w:r>
        <w:rPr>
          <w:b/>
          <w:color w:val="231F20"/>
          <w:sz w:val="18"/>
        </w:rPr>
        <w:t>[1]</w:t>
      </w:r>
      <w:r>
        <w:rPr>
          <w:color w:val="231F20"/>
        </w:rPr>
        <w:t>.</w:t>
      </w:r>
    </w:p>
    <w:p>
      <w:pPr>
        <w:pStyle w:val="BodyText"/>
        <w:spacing w:before="8"/>
        <w:rPr>
          <w:sz w:val="27"/>
        </w:rPr>
      </w:pPr>
      <w:r>
        <w:rPr/>
        <w:pict>
          <v:shape style="position:absolute;margin-left:59.525799pt;margin-top:18.204929pt;width:113.4pt;height:.1pt;mso-position-horizontal-relative:page;mso-position-vertical-relative:paragraph;z-index:-15728640;mso-wrap-distance-left:0;mso-wrap-distance-right:0" coordorigin="1191,364" coordsize="2268,0" path="m3458,364l1191,364e" filled="false" stroked="true" strokeweight=".5668pt" strokecolor="#231f20">
            <v:path arrowok="t"/>
            <v:stroke dashstyle="solid"/>
            <w10:wrap type="topAndBottom"/>
          </v:shape>
        </w:pict>
      </w:r>
    </w:p>
    <w:p>
      <w:pPr>
        <w:spacing w:line="232" w:lineRule="auto" w:before="21"/>
        <w:ind w:left="110" w:right="42" w:firstLine="0"/>
        <w:jc w:val="both"/>
        <w:rPr>
          <w:sz w:val="18"/>
        </w:rPr>
      </w:pPr>
      <w:r>
        <w:rPr>
          <w:b/>
          <w:i/>
          <w:color w:val="231F20"/>
          <w:sz w:val="18"/>
        </w:rPr>
        <w:t>Correspondence to: </w:t>
      </w:r>
      <w:r>
        <w:rPr>
          <w:color w:val="231F20"/>
          <w:sz w:val="18"/>
        </w:rPr>
        <w:t>Dr. Mohammed Adawi, The Department of Neurosurgery, Faculty of Medicine, Benha University, Egypt</w:t>
      </w:r>
    </w:p>
    <w:p>
      <w:pPr>
        <w:pStyle w:val="BodyText"/>
        <w:spacing w:line="230" w:lineRule="auto" w:before="99"/>
        <w:ind w:left="110" w:right="118" w:firstLine="311"/>
        <w:jc w:val="both"/>
      </w:pPr>
      <w:r>
        <w:rPr/>
        <w:br w:type="column"/>
      </w:r>
      <w:r>
        <w:rPr>
          <w:color w:val="231F20"/>
        </w:rPr>
        <w:t>One of the typical characteristics of craniophar- yngiomas</w:t>
      </w:r>
      <w:r>
        <w:rPr>
          <w:color w:val="231F20"/>
          <w:spacing w:val="-5"/>
        </w:rPr>
        <w:t> </w:t>
      </w:r>
      <w:r>
        <w:rPr>
          <w:color w:val="231F20"/>
        </w:rPr>
        <w:t>is</w:t>
      </w:r>
      <w:r>
        <w:rPr>
          <w:color w:val="231F20"/>
          <w:spacing w:val="-4"/>
        </w:rPr>
        <w:t> </w:t>
      </w:r>
      <w:r>
        <w:rPr>
          <w:color w:val="231F20"/>
        </w:rPr>
        <w:t>the</w:t>
      </w:r>
      <w:r>
        <w:rPr>
          <w:color w:val="231F20"/>
          <w:spacing w:val="-5"/>
        </w:rPr>
        <w:t> </w:t>
      </w:r>
      <w:r>
        <w:rPr>
          <w:color w:val="231F20"/>
        </w:rPr>
        <w:t>presence</w:t>
      </w:r>
      <w:r>
        <w:rPr>
          <w:color w:val="231F20"/>
          <w:spacing w:val="-4"/>
        </w:rPr>
        <w:t> </w:t>
      </w:r>
      <w:r>
        <w:rPr>
          <w:color w:val="231F20"/>
        </w:rPr>
        <w:t>of</w:t>
      </w:r>
      <w:r>
        <w:rPr>
          <w:color w:val="231F20"/>
          <w:spacing w:val="-5"/>
        </w:rPr>
        <w:t> </w:t>
      </w:r>
      <w:r>
        <w:rPr>
          <w:color w:val="231F20"/>
        </w:rPr>
        <w:t>a</w:t>
      </w:r>
      <w:r>
        <w:rPr>
          <w:color w:val="231F20"/>
          <w:spacing w:val="-4"/>
        </w:rPr>
        <w:t> </w:t>
      </w:r>
      <w:r>
        <w:rPr>
          <w:color w:val="231F20"/>
        </w:rPr>
        <w:t>cyst</w:t>
      </w:r>
      <w:r>
        <w:rPr>
          <w:color w:val="231F20"/>
          <w:spacing w:val="-5"/>
        </w:rPr>
        <w:t> </w:t>
      </w:r>
      <w:r>
        <w:rPr>
          <w:color w:val="231F20"/>
        </w:rPr>
        <w:t>within</w:t>
      </w:r>
      <w:r>
        <w:rPr>
          <w:color w:val="231F20"/>
          <w:spacing w:val="-4"/>
        </w:rPr>
        <w:t> </w:t>
      </w:r>
      <w:r>
        <w:rPr>
          <w:color w:val="231F20"/>
        </w:rPr>
        <w:t>the</w:t>
      </w:r>
      <w:r>
        <w:rPr>
          <w:color w:val="231F20"/>
          <w:spacing w:val="-5"/>
        </w:rPr>
        <w:t> </w:t>
      </w:r>
      <w:r>
        <w:rPr>
          <w:color w:val="231F20"/>
          <w:spacing w:val="-3"/>
        </w:rPr>
        <w:t>tumor. </w:t>
      </w:r>
      <w:r>
        <w:rPr>
          <w:color w:val="231F20"/>
          <w:spacing w:val="2"/>
        </w:rPr>
        <w:t>Such cysts occur </w:t>
      </w:r>
      <w:r>
        <w:rPr>
          <w:color w:val="231F20"/>
        </w:rPr>
        <w:t>in </w:t>
      </w:r>
      <w:r>
        <w:rPr>
          <w:color w:val="231F20"/>
          <w:spacing w:val="2"/>
        </w:rPr>
        <w:t>more than </w:t>
      </w:r>
      <w:r>
        <w:rPr>
          <w:color w:val="231F20"/>
        </w:rPr>
        <w:t>90% of </w:t>
      </w:r>
      <w:r>
        <w:rPr>
          <w:color w:val="231F20"/>
          <w:spacing w:val="2"/>
        </w:rPr>
        <w:t>tumors </w:t>
      </w:r>
      <w:r>
        <w:rPr>
          <w:color w:val="231F20"/>
          <w:spacing w:val="3"/>
        </w:rPr>
        <w:t>and often </w:t>
      </w:r>
      <w:r>
        <w:rPr>
          <w:color w:val="231F20"/>
          <w:spacing w:val="2"/>
        </w:rPr>
        <w:t>the </w:t>
      </w:r>
      <w:r>
        <w:rPr>
          <w:color w:val="231F20"/>
          <w:spacing w:val="3"/>
        </w:rPr>
        <w:t>cyst comprises </w:t>
      </w:r>
      <w:r>
        <w:rPr>
          <w:color w:val="231F20"/>
          <w:spacing w:val="2"/>
        </w:rPr>
        <w:t>the </w:t>
      </w:r>
      <w:r>
        <w:rPr>
          <w:color w:val="231F20"/>
          <w:spacing w:val="3"/>
        </w:rPr>
        <w:t>major component </w:t>
      </w:r>
      <w:r>
        <w:rPr>
          <w:color w:val="231F20"/>
          <w:spacing w:val="4"/>
        </w:rPr>
        <w:t>of </w:t>
      </w:r>
      <w:r>
        <w:rPr>
          <w:color w:val="231F20"/>
          <w:spacing w:val="2"/>
        </w:rPr>
        <w:t>the </w:t>
      </w:r>
      <w:r>
        <w:rPr>
          <w:color w:val="231F20"/>
          <w:spacing w:val="3"/>
        </w:rPr>
        <w:t>tumor</w:t>
      </w:r>
      <w:r>
        <w:rPr>
          <w:color w:val="231F20"/>
          <w:spacing w:val="14"/>
        </w:rPr>
        <w:t> </w:t>
      </w:r>
      <w:r>
        <w:rPr>
          <w:b/>
          <w:color w:val="231F20"/>
          <w:spacing w:val="2"/>
          <w:sz w:val="18"/>
        </w:rPr>
        <w:t>[2]</w:t>
      </w:r>
      <w:r>
        <w:rPr>
          <w:color w:val="231F20"/>
          <w:spacing w:val="2"/>
        </w:rPr>
        <w:t>.</w:t>
      </w:r>
    </w:p>
    <w:p>
      <w:pPr>
        <w:pStyle w:val="BodyText"/>
        <w:spacing w:before="8"/>
        <w:rPr>
          <w:sz w:val="20"/>
        </w:rPr>
      </w:pPr>
    </w:p>
    <w:p>
      <w:pPr>
        <w:pStyle w:val="BodyText"/>
        <w:spacing w:line="230" w:lineRule="auto"/>
        <w:ind w:left="110" w:right="116" w:firstLine="311"/>
        <w:jc w:val="both"/>
      </w:pPr>
      <w:r>
        <w:rPr>
          <w:color w:val="231F20"/>
          <w:spacing w:val="4"/>
        </w:rPr>
        <w:t>The goal </w:t>
      </w:r>
      <w:r>
        <w:rPr>
          <w:color w:val="231F20"/>
          <w:spacing w:val="3"/>
        </w:rPr>
        <w:t>of </w:t>
      </w:r>
      <w:r>
        <w:rPr>
          <w:color w:val="231F20"/>
          <w:spacing w:val="4"/>
        </w:rPr>
        <w:t>surgery </w:t>
      </w:r>
      <w:r>
        <w:rPr>
          <w:color w:val="231F20"/>
          <w:spacing w:val="3"/>
        </w:rPr>
        <w:t>is </w:t>
      </w:r>
      <w:r>
        <w:rPr>
          <w:color w:val="231F20"/>
          <w:spacing w:val="5"/>
        </w:rPr>
        <w:t>decompression </w:t>
      </w:r>
      <w:r>
        <w:rPr>
          <w:color w:val="231F20"/>
          <w:spacing w:val="3"/>
        </w:rPr>
        <w:t>of </w:t>
      </w:r>
      <w:r>
        <w:rPr>
          <w:color w:val="231F20"/>
          <w:spacing w:val="6"/>
        </w:rPr>
        <w:t>the</w:t>
      </w:r>
      <w:r>
        <w:rPr>
          <w:color w:val="231F20"/>
          <w:spacing w:val="67"/>
        </w:rPr>
        <w:t> </w:t>
      </w:r>
      <w:r>
        <w:rPr>
          <w:color w:val="231F20"/>
        </w:rPr>
        <w:t>optic</w:t>
      </w:r>
      <w:r>
        <w:rPr>
          <w:color w:val="231F20"/>
          <w:spacing w:val="-11"/>
        </w:rPr>
        <w:t> </w:t>
      </w:r>
      <w:r>
        <w:rPr>
          <w:color w:val="231F20"/>
        </w:rPr>
        <w:t>and</w:t>
      </w:r>
      <w:r>
        <w:rPr>
          <w:color w:val="231F20"/>
          <w:spacing w:val="-11"/>
        </w:rPr>
        <w:t> </w:t>
      </w:r>
      <w:r>
        <w:rPr>
          <w:color w:val="231F20"/>
        </w:rPr>
        <w:t>ventricular</w:t>
      </w:r>
      <w:r>
        <w:rPr>
          <w:color w:val="231F20"/>
          <w:spacing w:val="-11"/>
        </w:rPr>
        <w:t> </w:t>
      </w:r>
      <w:r>
        <w:rPr>
          <w:color w:val="231F20"/>
        </w:rPr>
        <w:t>pathways.</w:t>
      </w:r>
      <w:r>
        <w:rPr>
          <w:color w:val="231F20"/>
          <w:spacing w:val="-10"/>
        </w:rPr>
        <w:t> </w:t>
      </w:r>
      <w:r>
        <w:rPr>
          <w:color w:val="231F20"/>
        </w:rPr>
        <w:t>For</w:t>
      </w:r>
      <w:r>
        <w:rPr>
          <w:color w:val="231F20"/>
          <w:spacing w:val="-11"/>
        </w:rPr>
        <w:t> </w:t>
      </w:r>
      <w:r>
        <w:rPr>
          <w:color w:val="231F20"/>
        </w:rPr>
        <w:t>primarily</w:t>
      </w:r>
      <w:r>
        <w:rPr>
          <w:color w:val="231F20"/>
          <w:spacing w:val="-11"/>
        </w:rPr>
        <w:t> </w:t>
      </w:r>
      <w:r>
        <w:rPr>
          <w:color w:val="231F20"/>
        </w:rPr>
        <w:t>cystic </w:t>
      </w:r>
      <w:r>
        <w:rPr>
          <w:color w:val="231F20"/>
          <w:spacing w:val="3"/>
        </w:rPr>
        <w:t>tumors, drainage </w:t>
      </w:r>
      <w:r>
        <w:rPr>
          <w:color w:val="231F20"/>
          <w:spacing w:val="2"/>
        </w:rPr>
        <w:t>and </w:t>
      </w:r>
      <w:r>
        <w:rPr>
          <w:color w:val="231F20"/>
          <w:spacing w:val="3"/>
        </w:rPr>
        <w:t>injection </w:t>
      </w:r>
      <w:r>
        <w:rPr>
          <w:color w:val="231F20"/>
        </w:rPr>
        <w:t>of </w:t>
      </w:r>
      <w:r>
        <w:rPr>
          <w:color w:val="231F20"/>
          <w:spacing w:val="3"/>
        </w:rPr>
        <w:t>radioactive </w:t>
      </w:r>
      <w:r>
        <w:rPr>
          <w:color w:val="231F20"/>
          <w:spacing w:val="4"/>
        </w:rPr>
        <w:t>iso- topes </w:t>
      </w:r>
      <w:r>
        <w:rPr>
          <w:color w:val="231F20"/>
          <w:spacing w:val="2"/>
        </w:rPr>
        <w:t>or </w:t>
      </w:r>
      <w:r>
        <w:rPr>
          <w:color w:val="231F20"/>
        </w:rPr>
        <w:t>a </w:t>
      </w:r>
      <w:r>
        <w:rPr>
          <w:color w:val="231F20"/>
          <w:spacing w:val="4"/>
        </w:rPr>
        <w:t>chemotherapeutic agent </w:t>
      </w:r>
      <w:r>
        <w:rPr>
          <w:color w:val="231F20"/>
          <w:spacing w:val="3"/>
        </w:rPr>
        <w:t>may </w:t>
      </w:r>
      <w:r>
        <w:rPr>
          <w:color w:val="231F20"/>
          <w:spacing w:val="2"/>
        </w:rPr>
        <w:t>be an </w:t>
      </w:r>
      <w:r>
        <w:rPr>
          <w:color w:val="231F20"/>
          <w:spacing w:val="5"/>
        </w:rPr>
        <w:t>al- </w:t>
      </w:r>
      <w:r>
        <w:rPr>
          <w:color w:val="231F20"/>
          <w:spacing w:val="3"/>
        </w:rPr>
        <w:t>ternative </w:t>
      </w:r>
      <w:r>
        <w:rPr>
          <w:color w:val="231F20"/>
        </w:rPr>
        <w:t>to </w:t>
      </w:r>
      <w:r>
        <w:rPr>
          <w:color w:val="231F20"/>
          <w:spacing w:val="3"/>
        </w:rPr>
        <w:t>surgical resection</w:t>
      </w:r>
      <w:r>
        <w:rPr>
          <w:color w:val="231F20"/>
          <w:spacing w:val="28"/>
        </w:rPr>
        <w:t> </w:t>
      </w:r>
      <w:r>
        <w:rPr>
          <w:b/>
          <w:color w:val="231F20"/>
          <w:spacing w:val="2"/>
          <w:sz w:val="18"/>
        </w:rPr>
        <w:t>[3]</w:t>
      </w:r>
      <w:r>
        <w:rPr>
          <w:color w:val="231F20"/>
          <w:spacing w:val="2"/>
        </w:rPr>
        <w:t>.</w:t>
      </w:r>
    </w:p>
    <w:p>
      <w:pPr>
        <w:pStyle w:val="BodyText"/>
        <w:spacing w:before="7"/>
        <w:rPr>
          <w:sz w:val="20"/>
        </w:rPr>
      </w:pPr>
    </w:p>
    <w:p>
      <w:pPr>
        <w:pStyle w:val="BodyText"/>
        <w:spacing w:line="230" w:lineRule="auto"/>
        <w:ind w:left="110" w:right="120" w:firstLine="311"/>
        <w:jc w:val="both"/>
      </w:pPr>
      <w:r>
        <w:rPr>
          <w:color w:val="231F20"/>
        </w:rPr>
        <w:t>First described in the 1960s, Ommaya reservoir placements have various applications, most notably allowing ventricular access for sampling and ther- apy in cancer </w:t>
      </w:r>
      <w:r>
        <w:rPr>
          <w:b/>
          <w:color w:val="231F20"/>
          <w:sz w:val="18"/>
        </w:rPr>
        <w:t>[4]</w:t>
      </w:r>
      <w:r>
        <w:rPr>
          <w:color w:val="231F20"/>
        </w:rPr>
        <w:t>.</w:t>
      </w:r>
    </w:p>
    <w:p>
      <w:pPr>
        <w:pStyle w:val="BodyText"/>
        <w:spacing w:before="8"/>
        <w:rPr>
          <w:sz w:val="20"/>
        </w:rPr>
      </w:pPr>
    </w:p>
    <w:p>
      <w:pPr>
        <w:pStyle w:val="BodyText"/>
        <w:spacing w:line="230" w:lineRule="auto"/>
        <w:ind w:left="110" w:right="116" w:firstLine="311"/>
        <w:jc w:val="both"/>
      </w:pPr>
      <w:r>
        <w:rPr>
          <w:color w:val="231F20"/>
        </w:rPr>
        <w:t>Recurrent lesions with significant cystic com- ponent not amenable to total extirpation may be treated by repetitive aspirations through an ind- welling Ommaya reservoir apparatus </w:t>
      </w:r>
      <w:r>
        <w:rPr>
          <w:b/>
          <w:color w:val="231F20"/>
          <w:sz w:val="18"/>
        </w:rPr>
        <w:t>[5]</w:t>
      </w:r>
      <w:r>
        <w:rPr>
          <w:color w:val="231F20"/>
        </w:rPr>
        <w:t>.</w:t>
      </w:r>
    </w:p>
    <w:p>
      <w:pPr>
        <w:pStyle w:val="BodyText"/>
        <w:spacing w:before="8"/>
        <w:rPr>
          <w:sz w:val="20"/>
        </w:rPr>
      </w:pPr>
    </w:p>
    <w:p>
      <w:pPr>
        <w:pStyle w:val="BodyText"/>
        <w:spacing w:line="230" w:lineRule="auto"/>
        <w:ind w:left="110" w:right="113" w:firstLine="311"/>
        <w:jc w:val="both"/>
      </w:pPr>
      <w:r>
        <w:rPr>
          <w:color w:val="231F20"/>
        </w:rPr>
        <w:t>Ventricular </w:t>
      </w:r>
      <w:r>
        <w:rPr>
          <w:color w:val="231F20"/>
          <w:spacing w:val="2"/>
        </w:rPr>
        <w:t>catheter placement associated </w:t>
      </w:r>
      <w:r>
        <w:rPr>
          <w:color w:val="231F20"/>
          <w:spacing w:val="3"/>
        </w:rPr>
        <w:t>with </w:t>
      </w:r>
      <w:r>
        <w:rPr>
          <w:color w:val="231F20"/>
          <w:spacing w:val="2"/>
        </w:rPr>
        <w:t>an </w:t>
      </w:r>
      <w:r>
        <w:rPr>
          <w:color w:val="231F20"/>
          <w:spacing w:val="4"/>
        </w:rPr>
        <w:t>Ommaya reservoir </w:t>
      </w:r>
      <w:r>
        <w:rPr>
          <w:color w:val="231F20"/>
          <w:spacing w:val="3"/>
        </w:rPr>
        <w:t>has been </w:t>
      </w:r>
      <w:r>
        <w:rPr>
          <w:color w:val="231F20"/>
          <w:spacing w:val="4"/>
        </w:rPr>
        <w:t>accomplished </w:t>
      </w:r>
      <w:r>
        <w:rPr>
          <w:color w:val="231F20"/>
          <w:spacing w:val="5"/>
        </w:rPr>
        <w:t>by </w:t>
      </w:r>
      <w:r>
        <w:rPr>
          <w:color w:val="231F20"/>
          <w:spacing w:val="7"/>
        </w:rPr>
        <w:t>several </w:t>
      </w:r>
      <w:r>
        <w:rPr>
          <w:color w:val="231F20"/>
          <w:spacing w:val="8"/>
        </w:rPr>
        <w:t>techniques </w:t>
      </w:r>
      <w:r>
        <w:rPr>
          <w:color w:val="231F20"/>
          <w:spacing w:val="6"/>
        </w:rPr>
        <w:t>over the </w:t>
      </w:r>
      <w:r>
        <w:rPr>
          <w:color w:val="231F20"/>
          <w:spacing w:val="7"/>
        </w:rPr>
        <w:t>years. </w:t>
      </w:r>
      <w:r>
        <w:rPr>
          <w:color w:val="231F20"/>
        </w:rPr>
        <w:t>A </w:t>
      </w:r>
      <w:r>
        <w:rPr>
          <w:color w:val="231F20"/>
          <w:spacing w:val="9"/>
        </w:rPr>
        <w:t>freehand </w:t>
      </w:r>
      <w:r>
        <w:rPr>
          <w:color w:val="231F20"/>
          <w:spacing w:val="2"/>
        </w:rPr>
        <w:t>catheter technique </w:t>
      </w:r>
      <w:r>
        <w:rPr>
          <w:color w:val="231F20"/>
        </w:rPr>
        <w:t>was </w:t>
      </w:r>
      <w:r>
        <w:rPr>
          <w:color w:val="231F20"/>
          <w:spacing w:val="2"/>
        </w:rPr>
        <w:t>used </w:t>
      </w:r>
      <w:r>
        <w:rPr>
          <w:color w:val="231F20"/>
        </w:rPr>
        <w:t>initially, but </w:t>
      </w:r>
      <w:r>
        <w:rPr>
          <w:color w:val="231F20"/>
          <w:spacing w:val="2"/>
        </w:rPr>
        <w:t>over </w:t>
      </w:r>
      <w:r>
        <w:rPr>
          <w:color w:val="231F20"/>
          <w:spacing w:val="3"/>
        </w:rPr>
        <w:t>the </w:t>
      </w:r>
      <w:r>
        <w:rPr>
          <w:color w:val="231F20"/>
        </w:rPr>
        <w:t>years has been largely supplanted by various forms </w:t>
      </w:r>
      <w:r>
        <w:rPr>
          <w:color w:val="231F20"/>
          <w:spacing w:val="3"/>
        </w:rPr>
        <w:t>of </w:t>
      </w:r>
      <w:r>
        <w:rPr>
          <w:color w:val="231F20"/>
          <w:spacing w:val="5"/>
        </w:rPr>
        <w:t>image </w:t>
      </w:r>
      <w:r>
        <w:rPr>
          <w:color w:val="231F20"/>
          <w:spacing w:val="6"/>
        </w:rPr>
        <w:t>guidance </w:t>
      </w:r>
      <w:r>
        <w:rPr>
          <w:color w:val="231F20"/>
          <w:spacing w:val="3"/>
        </w:rPr>
        <w:t>as </w:t>
      </w:r>
      <w:r>
        <w:rPr>
          <w:color w:val="231F20"/>
          <w:spacing w:val="6"/>
        </w:rPr>
        <w:t>technology </w:t>
      </w:r>
      <w:r>
        <w:rPr>
          <w:color w:val="231F20"/>
          <w:spacing w:val="4"/>
        </w:rPr>
        <w:t>has </w:t>
      </w:r>
      <w:r>
        <w:rPr>
          <w:color w:val="231F20"/>
          <w:spacing w:val="7"/>
        </w:rPr>
        <w:t>improved </w:t>
      </w:r>
      <w:r>
        <w:rPr>
          <w:color w:val="231F20"/>
          <w:spacing w:val="4"/>
        </w:rPr>
        <w:t>and </w:t>
      </w:r>
      <w:r>
        <w:rPr>
          <w:color w:val="231F20"/>
          <w:spacing w:val="5"/>
        </w:rPr>
        <w:t>practitioners </w:t>
      </w:r>
      <w:r>
        <w:rPr>
          <w:color w:val="231F20"/>
          <w:spacing w:val="4"/>
        </w:rPr>
        <w:t>have </w:t>
      </w:r>
      <w:r>
        <w:rPr>
          <w:color w:val="231F20"/>
          <w:spacing w:val="5"/>
        </w:rPr>
        <w:t>recognized </w:t>
      </w:r>
      <w:r>
        <w:rPr>
          <w:color w:val="231F20"/>
          <w:spacing w:val="4"/>
        </w:rPr>
        <w:t>that </w:t>
      </w:r>
      <w:r>
        <w:rPr>
          <w:color w:val="231F20"/>
          <w:spacing w:val="6"/>
        </w:rPr>
        <w:t>freehand </w:t>
      </w:r>
      <w:r>
        <w:rPr>
          <w:color w:val="231F20"/>
        </w:rPr>
        <w:t>placement was associated with a high rate of</w:t>
      </w:r>
      <w:r>
        <w:rPr>
          <w:color w:val="231F20"/>
          <w:spacing w:val="-32"/>
        </w:rPr>
        <w:t> </w:t>
      </w:r>
      <w:r>
        <w:rPr>
          <w:color w:val="231F20"/>
        </w:rPr>
        <w:t>failure </w:t>
      </w:r>
      <w:r>
        <w:rPr>
          <w:b/>
          <w:color w:val="231F20"/>
          <w:spacing w:val="2"/>
          <w:sz w:val="18"/>
        </w:rPr>
        <w:t>[6]</w:t>
      </w:r>
      <w:r>
        <w:rPr>
          <w:color w:val="231F20"/>
          <w:spacing w:val="2"/>
        </w:rPr>
        <w:t>.</w:t>
      </w:r>
    </w:p>
    <w:p>
      <w:pPr>
        <w:pStyle w:val="BodyText"/>
        <w:spacing w:before="3"/>
        <w:rPr>
          <w:sz w:val="30"/>
        </w:rPr>
      </w:pPr>
    </w:p>
    <w:p>
      <w:pPr>
        <w:pStyle w:val="Heading1"/>
        <w:spacing w:before="0"/>
        <w:jc w:val="left"/>
      </w:pPr>
      <w:r>
        <w:rPr>
          <w:color w:val="231F20"/>
        </w:rPr>
        <w:t>Patients and Methods</w:t>
      </w:r>
    </w:p>
    <w:p>
      <w:pPr>
        <w:pStyle w:val="BodyText"/>
        <w:spacing w:before="7"/>
        <w:rPr>
          <w:b/>
          <w:sz w:val="20"/>
        </w:rPr>
      </w:pPr>
    </w:p>
    <w:p>
      <w:pPr>
        <w:pStyle w:val="BodyText"/>
        <w:spacing w:line="230" w:lineRule="auto"/>
        <w:ind w:left="110" w:right="118" w:firstLine="311"/>
        <w:jc w:val="both"/>
      </w:pPr>
      <w:r>
        <w:rPr>
          <w:color w:val="231F20"/>
        </w:rPr>
        <w:t>Eight cases with recurrent cystic craniopharyn- gioma were treated by inserting Ommaya reservoir system for cyst drainage in Benha University Hos- </w:t>
      </w:r>
      <w:r>
        <w:rPr>
          <w:color w:val="231F20"/>
          <w:spacing w:val="3"/>
        </w:rPr>
        <w:t>pital between March 2016 </w:t>
      </w:r>
      <w:r>
        <w:rPr>
          <w:color w:val="231F20"/>
          <w:spacing w:val="2"/>
        </w:rPr>
        <w:t>and </w:t>
      </w:r>
      <w:r>
        <w:rPr>
          <w:color w:val="231F20"/>
          <w:spacing w:val="3"/>
        </w:rPr>
        <w:t>October 2018. </w:t>
      </w:r>
      <w:r>
        <w:rPr>
          <w:color w:val="231F20"/>
          <w:spacing w:val="4"/>
        </w:rPr>
        <w:t>In- </w:t>
      </w:r>
      <w:r>
        <w:rPr>
          <w:color w:val="231F20"/>
        </w:rPr>
        <w:t>formation</w:t>
      </w:r>
      <w:r>
        <w:rPr>
          <w:color w:val="231F20"/>
          <w:spacing w:val="-17"/>
        </w:rPr>
        <w:t> </w:t>
      </w:r>
      <w:r>
        <w:rPr>
          <w:color w:val="231F20"/>
        </w:rPr>
        <w:t>on</w:t>
      </w:r>
      <w:r>
        <w:rPr>
          <w:color w:val="231F20"/>
          <w:spacing w:val="-16"/>
        </w:rPr>
        <w:t> </w:t>
      </w:r>
      <w:r>
        <w:rPr>
          <w:color w:val="231F20"/>
        </w:rPr>
        <w:t>clinical</w:t>
      </w:r>
      <w:r>
        <w:rPr>
          <w:color w:val="231F20"/>
          <w:spacing w:val="-17"/>
        </w:rPr>
        <w:t> </w:t>
      </w:r>
      <w:r>
        <w:rPr>
          <w:color w:val="231F20"/>
        </w:rPr>
        <w:t>manifestation,</w:t>
      </w:r>
      <w:r>
        <w:rPr>
          <w:color w:val="231F20"/>
          <w:spacing w:val="-16"/>
        </w:rPr>
        <w:t> </w:t>
      </w:r>
      <w:r>
        <w:rPr>
          <w:color w:val="231F20"/>
        </w:rPr>
        <w:t>histopathology, </w:t>
      </w:r>
      <w:r>
        <w:rPr>
          <w:color w:val="231F20"/>
          <w:spacing w:val="3"/>
        </w:rPr>
        <w:t>surgical technique, </w:t>
      </w:r>
      <w:r>
        <w:rPr>
          <w:color w:val="231F20"/>
          <w:spacing w:val="2"/>
        </w:rPr>
        <w:t>and </w:t>
      </w:r>
      <w:r>
        <w:rPr>
          <w:color w:val="231F20"/>
          <w:spacing w:val="3"/>
        </w:rPr>
        <w:t>outcome </w:t>
      </w:r>
      <w:r>
        <w:rPr>
          <w:color w:val="231F20"/>
          <w:spacing w:val="2"/>
        </w:rPr>
        <w:t>was </w:t>
      </w:r>
      <w:r>
        <w:rPr>
          <w:color w:val="231F20"/>
          <w:spacing w:val="3"/>
        </w:rPr>
        <w:t>obtained</w:t>
      </w:r>
      <w:r>
        <w:rPr>
          <w:color w:val="231F20"/>
          <w:spacing w:val="57"/>
        </w:rPr>
        <w:t> </w:t>
      </w:r>
      <w:r>
        <w:rPr>
          <w:color w:val="231F20"/>
          <w:spacing w:val="4"/>
        </w:rPr>
        <w:t>by</w:t>
      </w:r>
    </w:p>
    <w:p>
      <w:pPr>
        <w:spacing w:after="0" w:line="230" w:lineRule="auto"/>
        <w:jc w:val="both"/>
        <w:sectPr>
          <w:type w:val="continuous"/>
          <w:pgSz w:w="11900" w:h="16820"/>
          <w:pgMar w:top="1480" w:bottom="280" w:left="1080" w:right="1060"/>
          <w:cols w:num="2" w:equalWidth="0">
            <w:col w:w="4694" w:space="295"/>
            <w:col w:w="4771"/>
          </w:cols>
        </w:sectPr>
      </w:pPr>
    </w:p>
    <w:p>
      <w:pPr>
        <w:pStyle w:val="BodyText"/>
        <w:spacing w:before="8"/>
        <w:rPr>
          <w:sz w:val="18"/>
        </w:rPr>
      </w:pPr>
    </w:p>
    <w:p>
      <w:pPr>
        <w:spacing w:before="90"/>
        <w:ind w:left="4615" w:right="4624" w:firstLine="0"/>
        <w:jc w:val="center"/>
        <w:rPr>
          <w:sz w:val="24"/>
        </w:rPr>
      </w:pPr>
      <w:r>
        <w:rPr>
          <w:color w:val="231F20"/>
          <w:sz w:val="24"/>
        </w:rPr>
        <w:t>1651</w:t>
      </w:r>
    </w:p>
    <w:p>
      <w:pPr>
        <w:spacing w:after="0"/>
        <w:jc w:val="center"/>
        <w:rPr>
          <w:sz w:val="24"/>
        </w:rPr>
        <w:sectPr>
          <w:type w:val="continuous"/>
          <w:pgSz w:w="11900" w:h="16820"/>
          <w:pgMar w:top="1480" w:bottom="280" w:left="1080" w:right="1060"/>
        </w:sectPr>
      </w:pPr>
    </w:p>
    <w:p>
      <w:pPr>
        <w:pStyle w:val="BodyText"/>
        <w:spacing w:before="2"/>
        <w:rPr>
          <w:sz w:val="21"/>
        </w:rPr>
      </w:pPr>
    </w:p>
    <w:p>
      <w:pPr>
        <w:spacing w:after="0"/>
        <w:rPr>
          <w:sz w:val="21"/>
        </w:rPr>
        <w:sectPr>
          <w:headerReference w:type="default" r:id="rId7"/>
          <w:pgSz w:w="11900" w:h="16820"/>
          <w:pgMar w:header="1286" w:footer="0" w:top="1520" w:bottom="280" w:left="1080" w:right="1060"/>
        </w:sectPr>
      </w:pPr>
    </w:p>
    <w:p>
      <w:pPr>
        <w:pStyle w:val="BodyText"/>
        <w:spacing w:line="228" w:lineRule="auto" w:before="101"/>
        <w:ind w:left="108" w:right="44"/>
        <w:jc w:val="both"/>
      </w:pPr>
      <w:r>
        <w:rPr>
          <w:color w:val="231F20"/>
        </w:rPr>
        <w:t>review</w:t>
      </w:r>
      <w:r>
        <w:rPr>
          <w:color w:val="231F20"/>
          <w:spacing w:val="-12"/>
        </w:rPr>
        <w:t> </w:t>
      </w:r>
      <w:r>
        <w:rPr>
          <w:color w:val="231F20"/>
        </w:rPr>
        <w:t>of</w:t>
      </w:r>
      <w:r>
        <w:rPr>
          <w:color w:val="231F20"/>
          <w:spacing w:val="-11"/>
        </w:rPr>
        <w:t> </w:t>
      </w:r>
      <w:r>
        <w:rPr>
          <w:color w:val="231F20"/>
        </w:rPr>
        <w:t>the</w:t>
      </w:r>
      <w:r>
        <w:rPr>
          <w:color w:val="231F20"/>
          <w:spacing w:val="-11"/>
        </w:rPr>
        <w:t> </w:t>
      </w:r>
      <w:r>
        <w:rPr>
          <w:color w:val="231F20"/>
        </w:rPr>
        <w:t>patient</w:t>
      </w:r>
      <w:r>
        <w:rPr>
          <w:color w:val="231F20"/>
          <w:spacing w:val="-12"/>
        </w:rPr>
        <w:t> </w:t>
      </w:r>
      <w:r>
        <w:rPr>
          <w:color w:val="231F20"/>
        </w:rPr>
        <w:t>charts</w:t>
      </w:r>
      <w:r>
        <w:rPr>
          <w:color w:val="231F20"/>
          <w:spacing w:val="-11"/>
        </w:rPr>
        <w:t> </w:t>
      </w:r>
      <w:r>
        <w:rPr>
          <w:color w:val="231F20"/>
        </w:rPr>
        <w:t>and</w:t>
      </w:r>
      <w:r>
        <w:rPr>
          <w:color w:val="231F20"/>
          <w:spacing w:val="-11"/>
        </w:rPr>
        <w:t> </w:t>
      </w:r>
      <w:r>
        <w:rPr>
          <w:color w:val="231F20"/>
        </w:rPr>
        <w:t>radiological</w:t>
      </w:r>
      <w:r>
        <w:rPr>
          <w:color w:val="231F20"/>
          <w:spacing w:val="-12"/>
        </w:rPr>
        <w:t> </w:t>
      </w:r>
      <w:r>
        <w:rPr>
          <w:color w:val="231F20"/>
        </w:rPr>
        <w:t>reports. </w:t>
      </w:r>
      <w:r>
        <w:rPr>
          <w:color w:val="231F20"/>
          <w:spacing w:val="3"/>
        </w:rPr>
        <w:t>Follow-up </w:t>
      </w:r>
      <w:r>
        <w:rPr>
          <w:color w:val="231F20"/>
          <w:spacing w:val="2"/>
        </w:rPr>
        <w:t>was </w:t>
      </w:r>
      <w:r>
        <w:rPr>
          <w:color w:val="231F20"/>
          <w:spacing w:val="3"/>
        </w:rPr>
        <w:t>available from4-18</w:t>
      </w:r>
      <w:r>
        <w:rPr>
          <w:color w:val="231F20"/>
          <w:spacing w:val="28"/>
        </w:rPr>
        <w:t> </w:t>
      </w:r>
      <w:r>
        <w:rPr>
          <w:color w:val="231F20"/>
          <w:spacing w:val="4"/>
        </w:rPr>
        <w:t>months.</w:t>
      </w:r>
    </w:p>
    <w:p>
      <w:pPr>
        <w:pStyle w:val="BodyText"/>
        <w:spacing w:before="9"/>
        <w:rPr>
          <w:sz w:val="18"/>
        </w:rPr>
      </w:pPr>
    </w:p>
    <w:p>
      <w:pPr>
        <w:spacing w:before="0"/>
        <w:ind w:left="108" w:right="0" w:firstLine="0"/>
        <w:jc w:val="both"/>
        <w:rPr>
          <w:i/>
          <w:sz w:val="22"/>
        </w:rPr>
      </w:pPr>
      <w:r>
        <w:rPr>
          <w:i/>
          <w:color w:val="231F20"/>
          <w:sz w:val="22"/>
        </w:rPr>
        <w:t>Surgical technique:</w:t>
      </w:r>
    </w:p>
    <w:p>
      <w:pPr>
        <w:pStyle w:val="BodyText"/>
        <w:spacing w:line="228" w:lineRule="auto" w:before="54"/>
        <w:ind w:left="108" w:right="38" w:firstLine="311"/>
        <w:jc w:val="both"/>
      </w:pPr>
      <w:r>
        <w:rPr>
          <w:color w:val="231F20"/>
          <w:spacing w:val="3"/>
        </w:rPr>
        <w:t>The </w:t>
      </w:r>
      <w:r>
        <w:rPr>
          <w:color w:val="231F20"/>
          <w:spacing w:val="4"/>
        </w:rPr>
        <w:t>patient </w:t>
      </w:r>
      <w:r>
        <w:rPr>
          <w:color w:val="231F20"/>
          <w:spacing w:val="2"/>
        </w:rPr>
        <w:t>is </w:t>
      </w:r>
      <w:r>
        <w:rPr>
          <w:color w:val="231F20"/>
          <w:spacing w:val="4"/>
        </w:rPr>
        <w:t>placed supine </w:t>
      </w:r>
      <w:r>
        <w:rPr>
          <w:color w:val="231F20"/>
          <w:spacing w:val="3"/>
        </w:rPr>
        <w:t>with the head </w:t>
      </w:r>
      <w:r>
        <w:rPr>
          <w:color w:val="231F20"/>
          <w:spacing w:val="5"/>
        </w:rPr>
        <w:t>in </w:t>
      </w:r>
      <w:r>
        <w:rPr>
          <w:color w:val="231F20"/>
        </w:rPr>
        <w:t>a neutral position over a radiolucent table. By</w:t>
      </w:r>
      <w:r>
        <w:rPr>
          <w:color w:val="231F20"/>
          <w:spacing w:val="-32"/>
        </w:rPr>
        <w:t> </w:t>
      </w:r>
      <w:r>
        <w:rPr>
          <w:color w:val="231F20"/>
        </w:rPr>
        <w:t>using CT </w:t>
      </w:r>
      <w:r>
        <w:rPr>
          <w:color w:val="231F20"/>
          <w:spacing w:val="2"/>
        </w:rPr>
        <w:t>brain with reformatting, relation </w:t>
      </w:r>
      <w:r>
        <w:rPr>
          <w:color w:val="231F20"/>
        </w:rPr>
        <w:t>of the </w:t>
      </w:r>
      <w:r>
        <w:rPr>
          <w:color w:val="231F20"/>
          <w:spacing w:val="2"/>
        </w:rPr>
        <w:t>cyst </w:t>
      </w:r>
      <w:r>
        <w:rPr>
          <w:color w:val="231F20"/>
          <w:spacing w:val="3"/>
        </w:rPr>
        <w:t>to </w:t>
      </w:r>
      <w:r>
        <w:rPr>
          <w:color w:val="231F20"/>
          <w:spacing w:val="2"/>
        </w:rPr>
        <w:t>the </w:t>
      </w:r>
      <w:r>
        <w:rPr>
          <w:color w:val="231F20"/>
          <w:spacing w:val="3"/>
        </w:rPr>
        <w:t>anterior </w:t>
      </w:r>
      <w:r>
        <w:rPr>
          <w:color w:val="231F20"/>
          <w:spacing w:val="2"/>
        </w:rPr>
        <w:t>and </w:t>
      </w:r>
      <w:r>
        <w:rPr>
          <w:color w:val="231F20"/>
          <w:spacing w:val="3"/>
        </w:rPr>
        <w:t>posterior clinoid processes </w:t>
      </w:r>
      <w:r>
        <w:rPr>
          <w:color w:val="231F20"/>
        </w:rPr>
        <w:t>in </w:t>
      </w:r>
      <w:r>
        <w:rPr>
          <w:color w:val="231F20"/>
          <w:spacing w:val="4"/>
        </w:rPr>
        <w:t>the </w:t>
      </w:r>
      <w:r>
        <w:rPr>
          <w:color w:val="231F20"/>
        </w:rPr>
        <w:t>antero-posterior plane, as well as its relation to </w:t>
      </w:r>
      <w:r>
        <w:rPr>
          <w:color w:val="231F20"/>
          <w:spacing w:val="2"/>
        </w:rPr>
        <w:t>the </w:t>
      </w:r>
      <w:r>
        <w:rPr>
          <w:color w:val="231F20"/>
          <w:spacing w:val="5"/>
        </w:rPr>
        <w:t>frontal </w:t>
      </w:r>
      <w:r>
        <w:rPr>
          <w:color w:val="231F20"/>
          <w:spacing w:val="4"/>
        </w:rPr>
        <w:t>crest and </w:t>
      </w:r>
      <w:r>
        <w:rPr>
          <w:color w:val="231F20"/>
          <w:spacing w:val="5"/>
        </w:rPr>
        <w:t>crista </w:t>
      </w:r>
      <w:r>
        <w:rPr>
          <w:color w:val="231F20"/>
          <w:spacing w:val="4"/>
        </w:rPr>
        <w:t>galli </w:t>
      </w:r>
      <w:r>
        <w:rPr>
          <w:color w:val="231F20"/>
          <w:spacing w:val="3"/>
        </w:rPr>
        <w:t>in </w:t>
      </w:r>
      <w:r>
        <w:rPr>
          <w:color w:val="231F20"/>
          <w:spacing w:val="4"/>
        </w:rPr>
        <w:t>the </w:t>
      </w:r>
      <w:r>
        <w:rPr>
          <w:color w:val="231F20"/>
          <w:spacing w:val="5"/>
        </w:rPr>
        <w:t>lateral </w:t>
      </w:r>
      <w:r>
        <w:rPr>
          <w:color w:val="231F20"/>
          <w:spacing w:val="6"/>
        </w:rPr>
        <w:t>plane,</w:t>
      </w:r>
      <w:r>
        <w:rPr>
          <w:color w:val="231F20"/>
          <w:spacing w:val="67"/>
        </w:rPr>
        <w:t> </w:t>
      </w:r>
      <w:r>
        <w:rPr>
          <w:color w:val="231F20"/>
        </w:rPr>
        <w:t>are studied and documented. The distance</w:t>
      </w:r>
      <w:r>
        <w:rPr>
          <w:color w:val="231F20"/>
          <w:spacing w:val="28"/>
        </w:rPr>
        <w:t> </w:t>
      </w:r>
      <w:r>
        <w:rPr>
          <w:color w:val="231F20"/>
        </w:rPr>
        <w:t>between</w:t>
      </w:r>
    </w:p>
    <w:p>
      <w:pPr>
        <w:pStyle w:val="BodyText"/>
        <w:spacing w:line="232" w:lineRule="auto" w:before="97"/>
        <w:ind w:left="108" w:right="118"/>
        <w:jc w:val="both"/>
      </w:pPr>
      <w:r>
        <w:rPr/>
        <w:br w:type="column"/>
      </w:r>
      <w:r>
        <w:rPr>
          <w:color w:val="231F20"/>
          <w:spacing w:val="4"/>
        </w:rPr>
        <w:t>the outer table </w:t>
      </w:r>
      <w:r>
        <w:rPr>
          <w:color w:val="231F20"/>
          <w:spacing w:val="3"/>
        </w:rPr>
        <w:t>of </w:t>
      </w:r>
      <w:r>
        <w:rPr>
          <w:color w:val="231F20"/>
          <w:spacing w:val="4"/>
        </w:rPr>
        <w:t>the </w:t>
      </w:r>
      <w:r>
        <w:rPr>
          <w:color w:val="231F20"/>
          <w:spacing w:val="5"/>
        </w:rPr>
        <w:t>frontal </w:t>
      </w:r>
      <w:r>
        <w:rPr>
          <w:color w:val="231F20"/>
          <w:spacing w:val="4"/>
        </w:rPr>
        <w:t>bone and the </w:t>
      </w:r>
      <w:r>
        <w:rPr>
          <w:color w:val="231F20"/>
          <w:spacing w:val="6"/>
        </w:rPr>
        <w:t>basal</w:t>
      </w:r>
      <w:r>
        <w:rPr>
          <w:color w:val="231F20"/>
          <w:spacing w:val="67"/>
        </w:rPr>
        <w:t> </w:t>
      </w:r>
      <w:r>
        <w:rPr>
          <w:color w:val="231F20"/>
          <w:spacing w:val="2"/>
        </w:rPr>
        <w:t>part </w:t>
      </w:r>
      <w:r>
        <w:rPr>
          <w:color w:val="231F20"/>
        </w:rPr>
        <w:t>of the </w:t>
      </w:r>
      <w:r>
        <w:rPr>
          <w:color w:val="231F20"/>
          <w:spacing w:val="2"/>
        </w:rPr>
        <w:t>cyst </w:t>
      </w:r>
      <w:r>
        <w:rPr>
          <w:color w:val="231F20"/>
        </w:rPr>
        <w:t>is </w:t>
      </w:r>
      <w:r>
        <w:rPr>
          <w:color w:val="231F20"/>
          <w:spacing w:val="2"/>
        </w:rPr>
        <w:t>also documented </w:t>
      </w:r>
      <w:r>
        <w:rPr>
          <w:color w:val="231F20"/>
        </w:rPr>
        <w:t>to </w:t>
      </w:r>
      <w:r>
        <w:rPr>
          <w:color w:val="231F20"/>
          <w:spacing w:val="2"/>
        </w:rPr>
        <w:t>identify </w:t>
      </w:r>
      <w:r>
        <w:rPr>
          <w:color w:val="231F20"/>
          <w:spacing w:val="3"/>
        </w:rPr>
        <w:t>the </w:t>
      </w:r>
      <w:r>
        <w:rPr>
          <w:color w:val="231F20"/>
          <w:spacing w:val="5"/>
        </w:rPr>
        <w:t>ideal length </w:t>
      </w:r>
      <w:r>
        <w:rPr>
          <w:color w:val="231F20"/>
          <w:spacing w:val="3"/>
        </w:rPr>
        <w:t>of </w:t>
      </w:r>
      <w:r>
        <w:rPr>
          <w:color w:val="231F20"/>
          <w:spacing w:val="4"/>
        </w:rPr>
        <w:t>the </w:t>
      </w:r>
      <w:r>
        <w:rPr>
          <w:color w:val="231F20"/>
          <w:spacing w:val="5"/>
        </w:rPr>
        <w:t>tube. </w:t>
      </w:r>
      <w:r>
        <w:rPr>
          <w:color w:val="231F20"/>
          <w:spacing w:val="6"/>
        </w:rPr>
        <w:t>Relying </w:t>
      </w:r>
      <w:r>
        <w:rPr>
          <w:color w:val="231F20"/>
          <w:spacing w:val="3"/>
        </w:rPr>
        <w:t>on </w:t>
      </w:r>
      <w:r>
        <w:rPr>
          <w:color w:val="231F20"/>
          <w:spacing w:val="5"/>
        </w:rPr>
        <w:t>these </w:t>
      </w:r>
      <w:r>
        <w:rPr>
          <w:color w:val="231F20"/>
          <w:spacing w:val="7"/>
        </w:rPr>
        <w:t>bony </w:t>
      </w:r>
      <w:r>
        <w:rPr>
          <w:color w:val="231F20"/>
        </w:rPr>
        <w:t>landmarks, the C-arm is used to guide the insertion of </w:t>
      </w:r>
      <w:r>
        <w:rPr>
          <w:color w:val="231F20"/>
          <w:spacing w:val="2"/>
        </w:rPr>
        <w:t>the </w:t>
      </w:r>
      <w:r>
        <w:rPr>
          <w:color w:val="231F20"/>
          <w:spacing w:val="3"/>
        </w:rPr>
        <w:t>tube </w:t>
      </w:r>
      <w:r>
        <w:rPr>
          <w:color w:val="231F20"/>
        </w:rPr>
        <w:t>in </w:t>
      </w:r>
      <w:r>
        <w:rPr>
          <w:color w:val="231F20"/>
          <w:spacing w:val="2"/>
        </w:rPr>
        <w:t>the </w:t>
      </w:r>
      <w:r>
        <w:rPr>
          <w:color w:val="231F20"/>
          <w:spacing w:val="3"/>
        </w:rPr>
        <w:t>operative theater Fig.</w:t>
      </w:r>
      <w:r>
        <w:rPr>
          <w:color w:val="231F20"/>
          <w:spacing w:val="60"/>
        </w:rPr>
        <w:t> </w:t>
      </w:r>
      <w:r>
        <w:rPr>
          <w:color w:val="231F20"/>
          <w:spacing w:val="4"/>
        </w:rPr>
        <w:t>(1).</w:t>
      </w:r>
    </w:p>
    <w:p>
      <w:pPr>
        <w:pStyle w:val="BodyText"/>
        <w:spacing w:before="10"/>
        <w:rPr>
          <w:sz w:val="20"/>
        </w:rPr>
      </w:pPr>
    </w:p>
    <w:p>
      <w:pPr>
        <w:pStyle w:val="BodyText"/>
        <w:spacing w:line="232" w:lineRule="auto"/>
        <w:ind w:left="108" w:right="118" w:firstLine="311"/>
        <w:jc w:val="both"/>
      </w:pPr>
      <w:r>
        <w:rPr>
          <w:color w:val="231F20"/>
        </w:rPr>
        <w:t>After confirming the target position of the tube, the stylet is removed and very small volume of cyst fluid is withdrawn, then final assembly of the system is performed by connecting the tube to the side of the reservoir Fig. (2).</w:t>
      </w:r>
    </w:p>
    <w:p>
      <w:pPr>
        <w:spacing w:after="0" w:line="232" w:lineRule="auto"/>
        <w:jc w:val="both"/>
        <w:sectPr>
          <w:type w:val="continuous"/>
          <w:pgSz w:w="11900" w:h="16820"/>
          <w:pgMar w:top="1480" w:bottom="280" w:left="1080" w:right="1060"/>
          <w:cols w:num="2" w:equalWidth="0">
            <w:col w:w="4690" w:space="299"/>
            <w:col w:w="477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line="203" w:lineRule="exact" w:before="92"/>
        <w:ind w:left="6826" w:right="0" w:firstLine="0"/>
        <w:jc w:val="both"/>
        <w:rPr>
          <w:sz w:val="18"/>
        </w:rPr>
      </w:pPr>
      <w:r>
        <w:rPr/>
        <w:pict>
          <v:group style="position:absolute;margin-left:59.408203pt;margin-top:-58.437855pt;width:148.6pt;height:198.5pt;mso-position-horizontal-relative:page;mso-position-vertical-relative:paragraph;z-index:15729152" coordorigin="1188,-1169" coordsize="2972,3970">
            <v:shape style="position:absolute;left:1188;top:-1169;width:2972;height:3970" type="#_x0000_t75" stroked="false">
              <v:imagedata r:id="rId8" o:title=""/>
            </v:shape>
            <v:shape style="position:absolute;left:1250;top:2508;width:281;height:200" type="#_x0000_t202" filled="false" stroked="false">
              <v:textbox inset="0,0,0,0">
                <w:txbxContent>
                  <w:p>
                    <w:pPr>
                      <w:spacing w:line="199" w:lineRule="exact" w:before="0"/>
                      <w:ind w:left="0" w:right="0" w:firstLine="0"/>
                      <w:jc w:val="left"/>
                      <w:rPr>
                        <w:b/>
                        <w:sz w:val="18"/>
                      </w:rPr>
                    </w:pPr>
                    <w:r>
                      <w:rPr>
                        <w:b/>
                        <w:color w:val="FFFFFF"/>
                        <w:sz w:val="18"/>
                      </w:rPr>
                      <w:t>(A)</w:t>
                    </w:r>
                  </w:p>
                </w:txbxContent>
              </v:textbox>
              <w10:wrap type="none"/>
            </v:shape>
            <w10:wrap type="none"/>
          </v:group>
        </w:pict>
      </w:r>
      <w:r>
        <w:rPr/>
        <w:pict>
          <v:group style="position:absolute;margin-left:212.134155pt;margin-top:-58.437855pt;width:159.6pt;height:198.5pt;mso-position-horizontal-relative:page;mso-position-vertical-relative:paragraph;z-index:15729664" coordorigin="4243,-1169" coordsize="3192,3970">
            <v:shape style="position:absolute;left:4242;top:-1169;width:3192;height:3970" type="#_x0000_t75" stroked="false">
              <v:imagedata r:id="rId9" o:title=""/>
            </v:shape>
            <v:shape style="position:absolute;left:4311;top:2508;width:271;height:200" type="#_x0000_t202" filled="false" stroked="false">
              <v:textbox inset="0,0,0,0">
                <w:txbxContent>
                  <w:p>
                    <w:pPr>
                      <w:spacing w:line="199" w:lineRule="exact" w:before="0"/>
                      <w:ind w:left="0" w:right="0" w:firstLine="0"/>
                      <w:jc w:val="left"/>
                      <w:rPr>
                        <w:b/>
                        <w:sz w:val="18"/>
                      </w:rPr>
                    </w:pPr>
                    <w:r>
                      <w:rPr>
                        <w:b/>
                        <w:color w:val="FFFFFF"/>
                        <w:sz w:val="18"/>
                      </w:rPr>
                      <w:t>(B)</w:t>
                    </w:r>
                  </w:p>
                </w:txbxContent>
              </v:textbox>
              <w10:wrap type="none"/>
            </v:shape>
            <w10:wrap type="none"/>
          </v:group>
        </w:pict>
      </w:r>
      <w:r>
        <w:rPr>
          <w:color w:val="231F20"/>
          <w:sz w:val="18"/>
        </w:rPr>
        <w:t>Fig. (1): Intra-operative C-arm images</w:t>
      </w:r>
    </w:p>
    <w:p>
      <w:pPr>
        <w:pStyle w:val="ListParagraph"/>
        <w:numPr>
          <w:ilvl w:val="0"/>
          <w:numId w:val="1"/>
        </w:numPr>
        <w:tabs>
          <w:tab w:pos="6838" w:val="left" w:leader="none"/>
        </w:tabs>
        <w:spacing w:line="232" w:lineRule="auto" w:before="2" w:after="0"/>
        <w:ind w:left="6514" w:right="120" w:firstLine="0"/>
        <w:jc w:val="both"/>
        <w:rPr>
          <w:sz w:val="18"/>
        </w:rPr>
      </w:pPr>
      <w:r>
        <w:rPr>
          <w:color w:val="231F20"/>
          <w:spacing w:val="4"/>
          <w:sz w:val="18"/>
        </w:rPr>
        <w:t>Lateral </w:t>
      </w:r>
      <w:r>
        <w:rPr>
          <w:color w:val="231F20"/>
          <w:spacing w:val="3"/>
          <w:sz w:val="18"/>
        </w:rPr>
        <w:t>view </w:t>
      </w:r>
      <w:r>
        <w:rPr>
          <w:color w:val="231F20"/>
          <w:spacing w:val="4"/>
          <w:sz w:val="18"/>
        </w:rPr>
        <w:t>showing </w:t>
      </w:r>
      <w:r>
        <w:rPr>
          <w:color w:val="231F20"/>
          <w:spacing w:val="3"/>
          <w:sz w:val="18"/>
        </w:rPr>
        <w:t>the target </w:t>
      </w:r>
      <w:r>
        <w:rPr>
          <w:color w:val="231F20"/>
          <w:spacing w:val="5"/>
          <w:sz w:val="18"/>
        </w:rPr>
        <w:t>end </w:t>
      </w:r>
      <w:r>
        <w:rPr>
          <w:color w:val="231F20"/>
          <w:sz w:val="18"/>
        </w:rPr>
        <w:t>of </w:t>
      </w:r>
      <w:r>
        <w:rPr>
          <w:color w:val="231F20"/>
          <w:spacing w:val="2"/>
          <w:sz w:val="18"/>
        </w:rPr>
        <w:t>the </w:t>
      </w:r>
      <w:r>
        <w:rPr>
          <w:color w:val="231F20"/>
          <w:spacing w:val="3"/>
          <w:sz w:val="18"/>
        </w:rPr>
        <w:t>tube </w:t>
      </w:r>
      <w:r>
        <w:rPr>
          <w:color w:val="231F20"/>
          <w:spacing w:val="2"/>
          <w:sz w:val="18"/>
        </w:rPr>
        <w:t>tip </w:t>
      </w:r>
      <w:r>
        <w:rPr>
          <w:color w:val="231F20"/>
          <w:spacing w:val="3"/>
          <w:sz w:val="18"/>
        </w:rPr>
        <w:t>behind </w:t>
      </w:r>
      <w:r>
        <w:rPr>
          <w:color w:val="231F20"/>
          <w:spacing w:val="2"/>
          <w:sz w:val="18"/>
        </w:rPr>
        <w:t>and </w:t>
      </w:r>
      <w:r>
        <w:rPr>
          <w:color w:val="231F20"/>
          <w:spacing w:val="3"/>
          <w:sz w:val="18"/>
        </w:rPr>
        <w:t>just above </w:t>
      </w:r>
      <w:r>
        <w:rPr>
          <w:color w:val="231F20"/>
          <w:spacing w:val="4"/>
          <w:sz w:val="18"/>
        </w:rPr>
        <w:t>the </w:t>
      </w:r>
      <w:r>
        <w:rPr>
          <w:color w:val="231F20"/>
          <w:spacing w:val="2"/>
          <w:sz w:val="18"/>
        </w:rPr>
        <w:t>anterior clinoid </w:t>
      </w:r>
      <w:r>
        <w:rPr>
          <w:color w:val="231F20"/>
          <w:sz w:val="18"/>
        </w:rPr>
        <w:t>(to be in the </w:t>
      </w:r>
      <w:r>
        <w:rPr>
          <w:color w:val="231F20"/>
          <w:spacing w:val="2"/>
          <w:sz w:val="18"/>
        </w:rPr>
        <w:t>center </w:t>
      </w:r>
      <w:r>
        <w:rPr>
          <w:color w:val="231F20"/>
          <w:sz w:val="18"/>
        </w:rPr>
        <w:t>of </w:t>
      </w:r>
      <w:r>
        <w:rPr>
          <w:color w:val="231F20"/>
          <w:spacing w:val="3"/>
          <w:sz w:val="18"/>
        </w:rPr>
        <w:t>the </w:t>
      </w:r>
      <w:r>
        <w:rPr>
          <w:color w:val="231F20"/>
          <w:sz w:val="18"/>
        </w:rPr>
        <w:t>cyst and just above its bottom), (B)</w:t>
      </w:r>
      <w:r>
        <w:rPr>
          <w:color w:val="231F20"/>
          <w:spacing w:val="-31"/>
          <w:sz w:val="18"/>
        </w:rPr>
        <w:t> </w:t>
      </w:r>
      <w:r>
        <w:rPr>
          <w:color w:val="231F20"/>
          <w:sz w:val="18"/>
        </w:rPr>
        <w:t>Antero- </w:t>
      </w:r>
      <w:r>
        <w:rPr>
          <w:color w:val="231F20"/>
          <w:spacing w:val="4"/>
          <w:sz w:val="18"/>
        </w:rPr>
        <w:t>posterior </w:t>
      </w:r>
      <w:r>
        <w:rPr>
          <w:color w:val="231F20"/>
          <w:spacing w:val="3"/>
          <w:sz w:val="18"/>
        </w:rPr>
        <w:t>view </w:t>
      </w:r>
      <w:r>
        <w:rPr>
          <w:color w:val="231F20"/>
          <w:spacing w:val="4"/>
          <w:sz w:val="18"/>
        </w:rPr>
        <w:t>showing </w:t>
      </w:r>
      <w:r>
        <w:rPr>
          <w:color w:val="231F20"/>
          <w:spacing w:val="3"/>
          <w:sz w:val="18"/>
        </w:rPr>
        <w:t>the </w:t>
      </w:r>
      <w:r>
        <w:rPr>
          <w:color w:val="231F20"/>
          <w:spacing w:val="4"/>
          <w:sz w:val="18"/>
        </w:rPr>
        <w:t>distal </w:t>
      </w:r>
      <w:r>
        <w:rPr>
          <w:color w:val="231F20"/>
          <w:spacing w:val="3"/>
          <w:sz w:val="18"/>
        </w:rPr>
        <w:t>end </w:t>
      </w:r>
      <w:r>
        <w:rPr>
          <w:color w:val="231F20"/>
          <w:sz w:val="18"/>
        </w:rPr>
        <w:t>of the </w:t>
      </w:r>
      <w:r>
        <w:rPr>
          <w:color w:val="231F20"/>
          <w:spacing w:val="2"/>
          <w:sz w:val="18"/>
        </w:rPr>
        <w:t>tube </w:t>
      </w:r>
      <w:r>
        <w:rPr>
          <w:color w:val="231F20"/>
          <w:sz w:val="18"/>
        </w:rPr>
        <w:t>in the</w:t>
      </w:r>
      <w:r>
        <w:rPr>
          <w:color w:val="231F20"/>
          <w:spacing w:val="28"/>
          <w:sz w:val="18"/>
        </w:rPr>
        <w:t> </w:t>
      </w:r>
      <w:r>
        <w:rPr>
          <w:color w:val="231F20"/>
          <w:spacing w:val="3"/>
          <w:sz w:val="18"/>
        </w:rPr>
        <w:t>medline.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spacing w:line="232" w:lineRule="auto" w:before="98"/>
        <w:ind w:left="6060" w:right="117" w:firstLine="311"/>
        <w:jc w:val="both"/>
        <w:rPr>
          <w:sz w:val="18"/>
        </w:rPr>
      </w:pPr>
      <w:r>
        <w:rPr/>
        <w:pict>
          <v:group style="position:absolute;margin-left:59.408203pt;margin-top:-73.389923pt;width:159.85pt;height:198.5pt;mso-position-horizontal-relative:page;mso-position-vertical-relative:paragraph;z-index:15730176" coordorigin="1188,-1468" coordsize="3197,3970">
            <v:shape style="position:absolute;left:1188;top:-1468;width:3197;height:3970" type="#_x0000_t75" stroked="false">
              <v:imagedata r:id="rId10" o:title=""/>
            </v:shape>
            <v:shape style="position:absolute;left:1230;top:2247;width:281;height:200" type="#_x0000_t202" filled="false" stroked="false">
              <v:textbox inset="0,0,0,0">
                <w:txbxContent>
                  <w:p>
                    <w:pPr>
                      <w:spacing w:line="199" w:lineRule="exact" w:before="0"/>
                      <w:ind w:left="0" w:right="0" w:firstLine="0"/>
                      <w:jc w:val="left"/>
                      <w:rPr>
                        <w:b/>
                        <w:sz w:val="18"/>
                      </w:rPr>
                    </w:pPr>
                    <w:r>
                      <w:rPr>
                        <w:b/>
                        <w:color w:val="FFFFFF"/>
                        <w:sz w:val="18"/>
                      </w:rPr>
                      <w:t>(A)</w:t>
                    </w:r>
                  </w:p>
                </w:txbxContent>
              </v:textbox>
              <w10:wrap type="none"/>
            </v:shape>
            <w10:wrap type="none"/>
          </v:group>
        </w:pict>
      </w:r>
      <w:r>
        <w:rPr/>
        <w:pict>
          <v:group style="position:absolute;margin-left:228.134155pt;margin-top:-73.389923pt;width:116.9pt;height:198.5pt;mso-position-horizontal-relative:page;mso-position-vertical-relative:paragraph;z-index:15730688" coordorigin="4563,-1468" coordsize="2338,3970">
            <v:shape style="position:absolute;left:4562;top:-1468;width:2338;height:3970" type="#_x0000_t75" stroked="false">
              <v:imagedata r:id="rId11" o:title=""/>
            </v:shape>
            <v:shape style="position:absolute;left:4651;top:2247;width:271;height:200" type="#_x0000_t202" filled="false" stroked="false">
              <v:textbox inset="0,0,0,0">
                <w:txbxContent>
                  <w:p>
                    <w:pPr>
                      <w:spacing w:line="199" w:lineRule="exact" w:before="0"/>
                      <w:ind w:left="0" w:right="0" w:firstLine="0"/>
                      <w:jc w:val="left"/>
                      <w:rPr>
                        <w:b/>
                        <w:sz w:val="18"/>
                      </w:rPr>
                    </w:pPr>
                    <w:r>
                      <w:rPr>
                        <w:b/>
                        <w:color w:val="FFFFFF"/>
                        <w:sz w:val="18"/>
                      </w:rPr>
                      <w:t>(B)</w:t>
                    </w:r>
                  </w:p>
                </w:txbxContent>
              </v:textbox>
              <w10:wrap type="none"/>
            </v:shape>
            <w10:wrap type="none"/>
          </v:group>
        </w:pict>
      </w:r>
      <w:r>
        <w:rPr>
          <w:color w:val="231F20"/>
          <w:sz w:val="18"/>
        </w:rPr>
        <w:t>Fig. (2): (A) Lateral view by the C-arm showing the final tube position after removal of the stylet, (B) Characteristic craniopharyngioma fluid.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after="0"/>
        <w:rPr>
          <w:sz w:val="17"/>
        </w:rPr>
        <w:sectPr>
          <w:type w:val="continuous"/>
          <w:pgSz w:w="11900" w:h="16820"/>
          <w:pgMar w:top="1480" w:bottom="280" w:left="1080" w:right="1060"/>
        </w:sectPr>
      </w:pPr>
    </w:p>
    <w:p>
      <w:pPr>
        <w:pStyle w:val="Heading1"/>
        <w:ind w:left="2015" w:right="1951"/>
      </w:pPr>
      <w:r>
        <w:rPr>
          <w:color w:val="231F20"/>
        </w:rPr>
        <w:t>Results</w:t>
      </w:r>
    </w:p>
    <w:p>
      <w:pPr>
        <w:pStyle w:val="BodyText"/>
        <w:spacing w:line="230" w:lineRule="auto" w:before="115"/>
        <w:ind w:left="108" w:right="38" w:firstLine="311"/>
        <w:jc w:val="both"/>
      </w:pPr>
      <w:r>
        <w:rPr>
          <w:color w:val="231F20"/>
          <w:spacing w:val="3"/>
        </w:rPr>
        <w:t>Six </w:t>
      </w:r>
      <w:r>
        <w:rPr>
          <w:color w:val="231F20"/>
          <w:spacing w:val="4"/>
        </w:rPr>
        <w:t>patients </w:t>
      </w:r>
      <w:r>
        <w:rPr>
          <w:color w:val="231F20"/>
          <w:spacing w:val="3"/>
        </w:rPr>
        <w:t>were </w:t>
      </w:r>
      <w:r>
        <w:rPr>
          <w:color w:val="231F20"/>
          <w:spacing w:val="4"/>
        </w:rPr>
        <w:t>males, </w:t>
      </w:r>
      <w:r>
        <w:rPr>
          <w:color w:val="231F20"/>
          <w:spacing w:val="3"/>
        </w:rPr>
        <w:t>and </w:t>
      </w:r>
      <w:r>
        <w:rPr>
          <w:color w:val="231F20"/>
        </w:rPr>
        <w:t>2 </w:t>
      </w:r>
      <w:r>
        <w:rPr>
          <w:color w:val="231F20"/>
          <w:spacing w:val="3"/>
        </w:rPr>
        <w:t>were </w:t>
      </w:r>
      <w:r>
        <w:rPr>
          <w:color w:val="231F20"/>
          <w:spacing w:val="5"/>
        </w:rPr>
        <w:t>females. </w:t>
      </w:r>
      <w:r>
        <w:rPr>
          <w:color w:val="231F20"/>
          <w:spacing w:val="4"/>
        </w:rPr>
        <w:t>The </w:t>
      </w:r>
      <w:r>
        <w:rPr>
          <w:color w:val="231F20"/>
          <w:spacing w:val="5"/>
        </w:rPr>
        <w:t>ages ranged from </w:t>
      </w:r>
      <w:r>
        <w:rPr>
          <w:color w:val="231F20"/>
        </w:rPr>
        <w:t>5 </w:t>
      </w:r>
      <w:r>
        <w:rPr>
          <w:color w:val="231F20"/>
          <w:spacing w:val="5"/>
        </w:rPr>
        <w:t>years </w:t>
      </w:r>
      <w:r>
        <w:rPr>
          <w:color w:val="231F20"/>
          <w:spacing w:val="3"/>
        </w:rPr>
        <w:t>to 38 </w:t>
      </w:r>
      <w:r>
        <w:rPr>
          <w:color w:val="231F20"/>
          <w:spacing w:val="5"/>
        </w:rPr>
        <w:t>years </w:t>
      </w:r>
      <w:r>
        <w:rPr>
          <w:color w:val="231F20"/>
          <w:spacing w:val="7"/>
        </w:rPr>
        <w:t>with </w:t>
      </w:r>
      <w:r>
        <w:rPr>
          <w:color w:val="231F20"/>
          <w:spacing w:val="3"/>
        </w:rPr>
        <w:t>mean age </w:t>
      </w:r>
      <w:r>
        <w:rPr>
          <w:color w:val="231F20"/>
          <w:spacing w:val="2"/>
        </w:rPr>
        <w:t>of </w:t>
      </w:r>
      <w:r>
        <w:rPr>
          <w:color w:val="231F20"/>
          <w:spacing w:val="3"/>
        </w:rPr>
        <w:t>18.4 </w:t>
      </w:r>
      <w:r>
        <w:rPr>
          <w:color w:val="231F20"/>
          <w:spacing w:val="4"/>
        </w:rPr>
        <w:t>years. </w:t>
      </w:r>
      <w:r>
        <w:rPr>
          <w:color w:val="231F20"/>
          <w:spacing w:val="2"/>
        </w:rPr>
        <w:t>At </w:t>
      </w:r>
      <w:r>
        <w:rPr>
          <w:color w:val="231F20"/>
          <w:spacing w:val="4"/>
        </w:rPr>
        <w:t>admission, </w:t>
      </w:r>
      <w:r>
        <w:rPr>
          <w:color w:val="231F20"/>
          <w:spacing w:val="5"/>
        </w:rPr>
        <w:t>headache </w:t>
      </w:r>
      <w:r>
        <w:rPr>
          <w:color w:val="231F20"/>
        </w:rPr>
        <w:t>was the </w:t>
      </w:r>
      <w:r>
        <w:rPr>
          <w:color w:val="231F20"/>
          <w:spacing w:val="2"/>
        </w:rPr>
        <w:t>most frequent presentation </w:t>
      </w:r>
      <w:r>
        <w:rPr>
          <w:color w:val="231F20"/>
        </w:rPr>
        <w:t>in all </w:t>
      </w:r>
      <w:r>
        <w:rPr>
          <w:color w:val="231F20"/>
          <w:spacing w:val="3"/>
        </w:rPr>
        <w:t>patients, followed </w:t>
      </w:r>
      <w:r>
        <w:rPr>
          <w:color w:val="231F20"/>
        </w:rPr>
        <w:t>by </w:t>
      </w:r>
      <w:r>
        <w:rPr>
          <w:color w:val="231F20"/>
          <w:spacing w:val="3"/>
        </w:rPr>
        <w:t>visual manifestations </w:t>
      </w:r>
      <w:r>
        <w:rPr>
          <w:color w:val="231F20"/>
        </w:rPr>
        <w:t>in 7</w:t>
      </w:r>
      <w:r>
        <w:rPr>
          <w:color w:val="231F20"/>
          <w:spacing w:val="54"/>
        </w:rPr>
        <w:t> </w:t>
      </w:r>
      <w:r>
        <w:rPr>
          <w:color w:val="231F20"/>
          <w:spacing w:val="4"/>
        </w:rPr>
        <w:t>patients.</w:t>
      </w:r>
    </w:p>
    <w:p>
      <w:pPr>
        <w:pStyle w:val="BodyText"/>
        <w:spacing w:line="230" w:lineRule="auto" w:before="174"/>
        <w:ind w:left="108" w:right="38" w:firstLine="311"/>
        <w:jc w:val="both"/>
      </w:pPr>
      <w:r>
        <w:rPr>
          <w:color w:val="231F20"/>
          <w:spacing w:val="4"/>
        </w:rPr>
        <w:t>All </w:t>
      </w:r>
      <w:r>
        <w:rPr>
          <w:color w:val="231F20"/>
          <w:spacing w:val="6"/>
        </w:rPr>
        <w:t>included </w:t>
      </w:r>
      <w:r>
        <w:rPr>
          <w:color w:val="231F20"/>
          <w:spacing w:val="5"/>
        </w:rPr>
        <w:t>cases were </w:t>
      </w:r>
      <w:r>
        <w:rPr>
          <w:color w:val="231F20"/>
          <w:spacing w:val="6"/>
        </w:rPr>
        <w:t>treated </w:t>
      </w:r>
      <w:r>
        <w:rPr>
          <w:color w:val="231F20"/>
          <w:spacing w:val="3"/>
        </w:rPr>
        <w:t>by </w:t>
      </w:r>
      <w:r>
        <w:rPr>
          <w:color w:val="231F20"/>
          <w:spacing w:val="7"/>
        </w:rPr>
        <w:t>inserting </w:t>
      </w:r>
      <w:r>
        <w:rPr>
          <w:color w:val="231F20"/>
          <w:spacing w:val="3"/>
        </w:rPr>
        <w:t>Ommaya reservoir tube using </w:t>
      </w:r>
      <w:r>
        <w:rPr>
          <w:color w:val="231F20"/>
          <w:spacing w:val="2"/>
        </w:rPr>
        <w:t>the </w:t>
      </w:r>
      <w:r>
        <w:rPr>
          <w:color w:val="231F20"/>
          <w:spacing w:val="3"/>
        </w:rPr>
        <w:t>described</w:t>
      </w:r>
      <w:r>
        <w:rPr>
          <w:color w:val="231F20"/>
          <w:spacing w:val="54"/>
        </w:rPr>
        <w:t> </w:t>
      </w:r>
      <w:r>
        <w:rPr>
          <w:color w:val="231F20"/>
          <w:spacing w:val="4"/>
        </w:rPr>
        <w:t>tech-</w:t>
      </w:r>
    </w:p>
    <w:p>
      <w:pPr>
        <w:pStyle w:val="BodyText"/>
        <w:spacing w:line="235" w:lineRule="auto" w:before="95"/>
        <w:ind w:left="108" w:right="116"/>
        <w:jc w:val="both"/>
      </w:pPr>
      <w:r>
        <w:rPr/>
        <w:br w:type="column"/>
      </w:r>
      <w:r>
        <w:rPr>
          <w:color w:val="231F20"/>
        </w:rPr>
        <w:t>nique. Post-operative CT brain documented accept- ed position of the tube end in all except one case that required second look surgery by the same technique Fig. (3).</w:t>
      </w:r>
    </w:p>
    <w:p>
      <w:pPr>
        <w:pStyle w:val="BodyText"/>
        <w:spacing w:before="4"/>
      </w:pPr>
    </w:p>
    <w:p>
      <w:pPr>
        <w:pStyle w:val="BodyText"/>
        <w:spacing w:line="235" w:lineRule="auto"/>
        <w:ind w:left="108" w:right="118" w:firstLine="311"/>
        <w:jc w:val="both"/>
      </w:pPr>
      <w:r>
        <w:rPr>
          <w:color w:val="231F20"/>
        </w:rPr>
        <w:t>Significant</w:t>
      </w:r>
      <w:r>
        <w:rPr>
          <w:color w:val="231F20"/>
          <w:spacing w:val="-17"/>
        </w:rPr>
        <w:t> </w:t>
      </w:r>
      <w:r>
        <w:rPr>
          <w:color w:val="231F20"/>
        </w:rPr>
        <w:t>post-operative</w:t>
      </w:r>
      <w:r>
        <w:rPr>
          <w:color w:val="231F20"/>
          <w:spacing w:val="-17"/>
        </w:rPr>
        <w:t> </w:t>
      </w:r>
      <w:r>
        <w:rPr>
          <w:color w:val="231F20"/>
        </w:rPr>
        <w:t>improvement</w:t>
      </w:r>
      <w:r>
        <w:rPr>
          <w:color w:val="231F20"/>
          <w:spacing w:val="-17"/>
        </w:rPr>
        <w:t> </w:t>
      </w:r>
      <w:r>
        <w:rPr>
          <w:color w:val="231F20"/>
        </w:rPr>
        <w:t>of</w:t>
      </w:r>
      <w:r>
        <w:rPr>
          <w:color w:val="231F20"/>
          <w:spacing w:val="-17"/>
        </w:rPr>
        <w:t> </w:t>
      </w:r>
      <w:r>
        <w:rPr>
          <w:color w:val="231F20"/>
        </w:rPr>
        <w:t>head- ache and visual symptoms were encountered in </w:t>
      </w:r>
      <w:r>
        <w:rPr>
          <w:color w:val="231F20"/>
          <w:spacing w:val="2"/>
        </w:rPr>
        <w:t>all </w:t>
      </w:r>
      <w:r>
        <w:rPr>
          <w:color w:val="231F20"/>
          <w:spacing w:val="4"/>
        </w:rPr>
        <w:t>cases due </w:t>
      </w:r>
      <w:r>
        <w:rPr>
          <w:color w:val="231F20"/>
          <w:spacing w:val="3"/>
        </w:rPr>
        <w:t>to </w:t>
      </w:r>
      <w:r>
        <w:rPr>
          <w:color w:val="231F20"/>
          <w:spacing w:val="5"/>
        </w:rPr>
        <w:t>decompression </w:t>
      </w:r>
      <w:r>
        <w:rPr>
          <w:color w:val="231F20"/>
          <w:spacing w:val="3"/>
        </w:rPr>
        <w:t>of </w:t>
      </w:r>
      <w:r>
        <w:rPr>
          <w:color w:val="231F20"/>
          <w:spacing w:val="4"/>
        </w:rPr>
        <w:t>the optic </w:t>
      </w:r>
      <w:r>
        <w:rPr>
          <w:color w:val="231F20"/>
          <w:spacing w:val="6"/>
        </w:rPr>
        <w:t>chiasm </w:t>
      </w:r>
      <w:r>
        <w:rPr>
          <w:color w:val="231F20"/>
        </w:rPr>
        <w:t>by </w:t>
      </w:r>
      <w:r>
        <w:rPr>
          <w:color w:val="231F20"/>
          <w:spacing w:val="3"/>
        </w:rPr>
        <w:t>cyst drainage Fig.</w:t>
      </w:r>
      <w:r>
        <w:rPr>
          <w:color w:val="231F20"/>
          <w:spacing w:val="26"/>
        </w:rPr>
        <w:t> </w:t>
      </w:r>
      <w:r>
        <w:rPr>
          <w:color w:val="231F20"/>
          <w:spacing w:val="4"/>
        </w:rPr>
        <w:t>(4).</w:t>
      </w:r>
    </w:p>
    <w:p>
      <w:pPr>
        <w:spacing w:after="0" w:line="235" w:lineRule="auto"/>
        <w:jc w:val="both"/>
        <w:sectPr>
          <w:type w:val="continuous"/>
          <w:pgSz w:w="11900" w:h="16820"/>
          <w:pgMar w:top="1480" w:bottom="280" w:left="1080" w:right="1060"/>
          <w:cols w:num="2" w:equalWidth="0">
            <w:col w:w="4692" w:space="297"/>
            <w:col w:w="477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spacing w:line="232" w:lineRule="auto" w:before="98"/>
        <w:ind w:left="7083" w:right="117" w:firstLine="311"/>
        <w:jc w:val="both"/>
        <w:rPr>
          <w:sz w:val="18"/>
        </w:rPr>
      </w:pPr>
      <w:r>
        <w:rPr/>
        <w:pict>
          <v:group style="position:absolute;margin-left:59.52417pt;margin-top:-133.184662pt;width:153.4pt;height:170.2pt;mso-position-horizontal-relative:page;mso-position-vertical-relative:paragraph;z-index:15732224" coordorigin="1190,-2664" coordsize="3068,3404">
            <v:shape style="position:absolute;left:1190;top:-2664;width:3068;height:3404" type="#_x0000_t75" stroked="false">
              <v:imagedata r:id="rId13" o:title=""/>
            </v:shape>
            <v:shape style="position:absolute;left:1274;top:481;width:281;height:200" type="#_x0000_t202" filled="false" stroked="false">
              <v:textbox inset="0,0,0,0">
                <w:txbxContent>
                  <w:p>
                    <w:pPr>
                      <w:spacing w:line="199" w:lineRule="exact" w:before="0"/>
                      <w:ind w:left="0" w:right="0" w:firstLine="0"/>
                      <w:jc w:val="left"/>
                      <w:rPr>
                        <w:b/>
                        <w:sz w:val="18"/>
                      </w:rPr>
                    </w:pPr>
                    <w:r>
                      <w:rPr>
                        <w:b/>
                        <w:color w:val="FFFFFF"/>
                        <w:sz w:val="18"/>
                      </w:rPr>
                      <w:t>(A)</w:t>
                    </w:r>
                  </w:p>
                </w:txbxContent>
              </v:textbox>
              <w10:wrap type="none"/>
            </v:shape>
            <w10:wrap type="none"/>
          </v:group>
        </w:pict>
      </w:r>
      <w:r>
        <w:rPr/>
        <w:pict>
          <v:group style="position:absolute;margin-left:227.52417pt;margin-top:-133.184662pt;width:168.25pt;height:170.2pt;mso-position-horizontal-relative:page;mso-position-vertical-relative:paragraph;z-index:15732736" coordorigin="4550,-2664" coordsize="3365,3404">
            <v:shape style="position:absolute;left:4550;top:-2664;width:3365;height:3404" type="#_x0000_t75" stroked="false">
              <v:imagedata r:id="rId14" o:title=""/>
            </v:shape>
            <v:shape style="position:absolute;left:4639;top:481;width:271;height:200" type="#_x0000_t202" filled="false" stroked="false">
              <v:textbox inset="0,0,0,0">
                <w:txbxContent>
                  <w:p>
                    <w:pPr>
                      <w:spacing w:line="199" w:lineRule="exact" w:before="0"/>
                      <w:ind w:left="0" w:right="0" w:firstLine="0"/>
                      <w:jc w:val="left"/>
                      <w:rPr>
                        <w:b/>
                        <w:sz w:val="18"/>
                      </w:rPr>
                    </w:pPr>
                    <w:r>
                      <w:rPr>
                        <w:b/>
                        <w:color w:val="FFFFFF"/>
                        <w:sz w:val="18"/>
                      </w:rPr>
                      <w:t>(B)</w:t>
                    </w:r>
                  </w:p>
                </w:txbxContent>
              </v:textbox>
              <w10:wrap type="none"/>
            </v:shape>
            <w10:wrap type="none"/>
          </v:group>
        </w:pict>
      </w:r>
      <w:r>
        <w:rPr>
          <w:color w:val="231F20"/>
          <w:spacing w:val="2"/>
          <w:sz w:val="18"/>
        </w:rPr>
        <w:t>Fig. (3): First </w:t>
      </w:r>
      <w:r>
        <w:rPr>
          <w:color w:val="231F20"/>
          <w:sz w:val="18"/>
        </w:rPr>
        <w:t>day </w:t>
      </w:r>
      <w:r>
        <w:rPr>
          <w:color w:val="231F20"/>
          <w:spacing w:val="2"/>
          <w:sz w:val="18"/>
        </w:rPr>
        <w:t>post </w:t>
      </w:r>
      <w:r>
        <w:rPr>
          <w:color w:val="231F20"/>
          <w:spacing w:val="3"/>
          <w:sz w:val="18"/>
        </w:rPr>
        <w:t>opera- tive </w:t>
      </w:r>
      <w:r>
        <w:rPr>
          <w:color w:val="231F20"/>
          <w:spacing w:val="2"/>
          <w:sz w:val="18"/>
        </w:rPr>
        <w:t>CT </w:t>
      </w:r>
      <w:r>
        <w:rPr>
          <w:color w:val="231F20"/>
          <w:spacing w:val="4"/>
          <w:sz w:val="18"/>
        </w:rPr>
        <w:t>brain </w:t>
      </w:r>
      <w:r>
        <w:rPr>
          <w:color w:val="231F20"/>
          <w:spacing w:val="2"/>
          <w:sz w:val="18"/>
        </w:rPr>
        <w:t>of </w:t>
      </w:r>
      <w:r>
        <w:rPr>
          <w:color w:val="231F20"/>
          <w:sz w:val="18"/>
        </w:rPr>
        <w:t>5 </w:t>
      </w:r>
      <w:r>
        <w:rPr>
          <w:color w:val="231F20"/>
          <w:spacing w:val="4"/>
          <w:sz w:val="18"/>
        </w:rPr>
        <w:t>years </w:t>
      </w:r>
      <w:r>
        <w:rPr>
          <w:color w:val="231F20"/>
          <w:spacing w:val="3"/>
          <w:sz w:val="18"/>
        </w:rPr>
        <w:t>old </w:t>
      </w:r>
      <w:r>
        <w:rPr>
          <w:color w:val="231F20"/>
          <w:spacing w:val="5"/>
          <w:sz w:val="18"/>
        </w:rPr>
        <w:t>boy </w:t>
      </w:r>
      <w:r>
        <w:rPr>
          <w:color w:val="231F20"/>
          <w:spacing w:val="2"/>
          <w:sz w:val="18"/>
        </w:rPr>
        <w:t>showing accepted tube position</w:t>
      </w:r>
      <w:r>
        <w:rPr>
          <w:color w:val="231F20"/>
          <w:spacing w:val="33"/>
          <w:sz w:val="18"/>
        </w:rPr>
        <w:t> </w:t>
      </w:r>
      <w:r>
        <w:rPr>
          <w:color w:val="231F20"/>
          <w:spacing w:val="3"/>
          <w:sz w:val="18"/>
        </w:rPr>
        <w:t>in</w:t>
      </w:r>
    </w:p>
    <w:p>
      <w:pPr>
        <w:pStyle w:val="ListParagraph"/>
        <w:numPr>
          <w:ilvl w:val="1"/>
          <w:numId w:val="1"/>
        </w:numPr>
        <w:tabs>
          <w:tab w:pos="7371" w:val="left" w:leader="none"/>
        </w:tabs>
        <w:spacing w:line="196" w:lineRule="exact" w:before="0" w:after="0"/>
        <w:ind w:left="7370" w:right="0" w:hanging="288"/>
        <w:jc w:val="both"/>
        <w:rPr>
          <w:sz w:val="18"/>
        </w:rPr>
      </w:pPr>
      <w:r>
        <w:rPr/>
        <w:pict>
          <v:group style="position:absolute;margin-left:63.964111pt;margin-top:7.982132pt;width:144.5pt;height:170.2pt;mso-position-horizontal-relative:page;mso-position-vertical-relative:paragraph;z-index:15733248" coordorigin="1279,160" coordsize="2890,3404">
            <v:shape style="position:absolute;left:1279;top:159;width:2890;height:3404" type="#_x0000_t75" stroked="false">
              <v:imagedata r:id="rId15" o:title=""/>
            </v:shape>
            <v:shape style="position:absolute;left:1335;top:3281;width:276;height:200" type="#_x0000_t202" filled="false" stroked="false">
              <v:textbox inset="0,0,0,0">
                <w:txbxContent>
                  <w:p>
                    <w:pPr>
                      <w:spacing w:line="199" w:lineRule="exact" w:before="0"/>
                      <w:ind w:left="0" w:right="0" w:firstLine="0"/>
                      <w:jc w:val="left"/>
                      <w:rPr>
                        <w:b/>
                        <w:sz w:val="18"/>
                      </w:rPr>
                    </w:pPr>
                    <w:r>
                      <w:rPr>
                        <w:b/>
                        <w:color w:val="FFFFFF"/>
                        <w:sz w:val="18"/>
                      </w:rPr>
                      <w:t>(C)</w:t>
                    </w:r>
                  </w:p>
                </w:txbxContent>
              </v:textbox>
              <w10:wrap type="none"/>
            </v:shape>
            <w10:wrap type="none"/>
          </v:group>
        </w:pict>
      </w:r>
      <w:r>
        <w:rPr/>
        <w:pict>
          <v:group style="position:absolute;margin-left:236.404053pt;margin-top:7.982132pt;width:150.5pt;height:170.2pt;mso-position-horizontal-relative:page;mso-position-vertical-relative:paragraph;z-index:15733760" coordorigin="4728,160" coordsize="3010,3404">
            <v:shape style="position:absolute;left:4728;top:159;width:3010;height:3404" type="#_x0000_t75" stroked="false">
              <v:imagedata r:id="rId16" o:title=""/>
            </v:shape>
            <v:shape style="position:absolute;left:4794;top:3281;width:281;height:200" type="#_x0000_t202" filled="false" stroked="false">
              <v:textbox inset="0,0,0,0">
                <w:txbxContent>
                  <w:p>
                    <w:pPr>
                      <w:spacing w:line="199" w:lineRule="exact" w:before="0"/>
                      <w:ind w:left="0" w:right="0" w:firstLine="0"/>
                      <w:jc w:val="left"/>
                      <w:rPr>
                        <w:b/>
                        <w:sz w:val="18"/>
                      </w:rPr>
                    </w:pPr>
                    <w:r>
                      <w:rPr>
                        <w:b/>
                        <w:color w:val="FFFFFF"/>
                        <w:sz w:val="18"/>
                      </w:rPr>
                      <w:t>(D)</w:t>
                    </w:r>
                  </w:p>
                </w:txbxContent>
              </v:textbox>
              <w10:wrap type="none"/>
            </v:shape>
            <w10:wrap type="none"/>
          </v:group>
        </w:pict>
      </w:r>
      <w:r>
        <w:rPr>
          <w:color w:val="231F20"/>
          <w:sz w:val="18"/>
        </w:rPr>
        <w:t>Axial plane, (B) Sagittal</w:t>
      </w:r>
      <w:r>
        <w:rPr>
          <w:color w:val="231F20"/>
          <w:spacing w:val="20"/>
          <w:sz w:val="18"/>
        </w:rPr>
        <w:t> </w:t>
      </w:r>
      <w:r>
        <w:rPr>
          <w:color w:val="231F20"/>
          <w:sz w:val="18"/>
        </w:rPr>
        <w:t>plane,</w:t>
      </w:r>
    </w:p>
    <w:p>
      <w:pPr>
        <w:spacing w:line="232" w:lineRule="auto" w:before="1"/>
        <w:ind w:left="7083" w:right="114" w:firstLine="0"/>
        <w:jc w:val="both"/>
        <w:rPr>
          <w:sz w:val="18"/>
        </w:rPr>
      </w:pPr>
      <w:r>
        <w:rPr>
          <w:color w:val="231F20"/>
          <w:sz w:val="18"/>
        </w:rPr>
        <w:t>(C) Coronal plane, and (D) 3D reformatting showing the position of the burr hole and the connection of the tube to the reservoir.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spacing w:after="0"/>
        <w:rPr>
          <w:sz w:val="25"/>
        </w:rPr>
        <w:sectPr>
          <w:headerReference w:type="default" r:id="rId12"/>
          <w:pgSz w:w="11900" w:h="16820"/>
          <w:pgMar w:header="1286" w:footer="0" w:top="1520" w:bottom="280" w:left="1080" w:right="1060"/>
        </w:sectPr>
      </w:pPr>
    </w:p>
    <w:p>
      <w:pPr>
        <w:pStyle w:val="BodyText"/>
        <w:spacing w:before="5"/>
        <w:rPr>
          <w:sz w:val="10"/>
        </w:rPr>
      </w:pPr>
    </w:p>
    <w:p>
      <w:pPr>
        <w:pStyle w:val="BodyText"/>
        <w:ind w:left="110" w:right="-15"/>
        <w:rPr>
          <w:sz w:val="20"/>
        </w:rPr>
      </w:pPr>
      <w:r>
        <w:rPr>
          <w:sz w:val="20"/>
        </w:rPr>
        <w:pict>
          <v:group style="width:226.8pt;height:118.35pt;mso-position-horizontal-relative:char;mso-position-vertical-relative:line" coordorigin="0,0" coordsize="4536,2367">
            <v:shape style="position:absolute;left:0;top:0;width:4536;height:2367" type="#_x0000_t75" stroked="false">
              <v:imagedata r:id="rId17" o:title=""/>
            </v:shape>
            <v:shape style="position:absolute;left:62;top:2084;width:281;height:200" type="#_x0000_t202" filled="false" stroked="false">
              <v:textbox inset="0,0,0,0">
                <w:txbxContent>
                  <w:p>
                    <w:pPr>
                      <w:spacing w:line="199" w:lineRule="exact" w:before="0"/>
                      <w:ind w:left="0" w:right="0" w:firstLine="0"/>
                      <w:jc w:val="left"/>
                      <w:rPr>
                        <w:b/>
                        <w:sz w:val="18"/>
                      </w:rPr>
                    </w:pPr>
                    <w:r>
                      <w:rPr>
                        <w:b/>
                        <w:color w:val="FFFFFF"/>
                        <w:sz w:val="18"/>
                      </w:rPr>
                      <w:t>(A)</w:t>
                    </w:r>
                  </w:p>
                </w:txbxContent>
              </v:textbox>
              <w10:wrap type="none"/>
            </v:shape>
          </v:group>
        </w:pict>
      </w:r>
      <w:r>
        <w:rPr>
          <w:sz w:val="20"/>
        </w:rPr>
      </w:r>
    </w:p>
    <w:p>
      <w:pPr>
        <w:pStyle w:val="BodyText"/>
        <w:spacing w:before="3"/>
        <w:rPr>
          <w:sz w:val="7"/>
        </w:rPr>
      </w:pPr>
    </w:p>
    <w:p>
      <w:pPr>
        <w:pStyle w:val="BodyText"/>
        <w:ind w:left="110" w:right="-15"/>
        <w:rPr>
          <w:sz w:val="20"/>
        </w:rPr>
      </w:pPr>
      <w:r>
        <w:rPr>
          <w:sz w:val="20"/>
        </w:rPr>
        <w:pict>
          <v:group style="width:226.8pt;height:127.7pt;mso-position-horizontal-relative:char;mso-position-vertical-relative:line" coordorigin="0,0" coordsize="4536,2554">
            <v:shape style="position:absolute;left:0;top:0;width:4536;height:2554" type="#_x0000_t75" stroked="false">
              <v:imagedata r:id="rId18" o:title=""/>
            </v:shape>
            <v:shape style="position:absolute;left:62;top:2263;width:271;height:200" type="#_x0000_t202" filled="false" stroked="false">
              <v:textbox inset="0,0,0,0">
                <w:txbxContent>
                  <w:p>
                    <w:pPr>
                      <w:spacing w:line="199" w:lineRule="exact" w:before="0"/>
                      <w:ind w:left="0" w:right="0" w:firstLine="0"/>
                      <w:jc w:val="left"/>
                      <w:rPr>
                        <w:b/>
                        <w:sz w:val="18"/>
                      </w:rPr>
                    </w:pPr>
                    <w:r>
                      <w:rPr>
                        <w:b/>
                        <w:color w:val="FFFFFF"/>
                        <w:sz w:val="18"/>
                      </w:rPr>
                      <w:t>(B)</w:t>
                    </w:r>
                  </w:p>
                </w:txbxContent>
              </v:textbox>
              <w10:wrap type="none"/>
            </v:shape>
          </v:group>
        </w:pict>
      </w:r>
      <w:r>
        <w:rPr>
          <w:sz w:val="20"/>
        </w:rPr>
      </w:r>
    </w:p>
    <w:p>
      <w:pPr>
        <w:spacing w:line="232" w:lineRule="auto" w:before="60"/>
        <w:ind w:left="110" w:right="38" w:firstLine="311"/>
        <w:jc w:val="both"/>
        <w:rPr>
          <w:sz w:val="18"/>
        </w:rPr>
      </w:pPr>
      <w:r>
        <w:rPr>
          <w:color w:val="231F20"/>
          <w:spacing w:val="3"/>
          <w:sz w:val="18"/>
        </w:rPr>
        <w:t>Fig. (4): </w:t>
      </w:r>
      <w:r>
        <w:rPr>
          <w:color w:val="231F20"/>
          <w:spacing w:val="2"/>
          <w:sz w:val="18"/>
        </w:rPr>
        <w:t>Visual </w:t>
      </w:r>
      <w:r>
        <w:rPr>
          <w:color w:val="231F20"/>
          <w:spacing w:val="4"/>
          <w:sz w:val="18"/>
        </w:rPr>
        <w:t>field examination </w:t>
      </w:r>
      <w:r>
        <w:rPr>
          <w:color w:val="231F20"/>
          <w:spacing w:val="3"/>
          <w:sz w:val="18"/>
        </w:rPr>
        <w:t>for </w:t>
      </w:r>
      <w:r>
        <w:rPr>
          <w:color w:val="231F20"/>
          <w:spacing w:val="2"/>
          <w:sz w:val="18"/>
        </w:rPr>
        <w:t>35 </w:t>
      </w:r>
      <w:r>
        <w:rPr>
          <w:color w:val="231F20"/>
          <w:spacing w:val="4"/>
          <w:sz w:val="18"/>
        </w:rPr>
        <w:t>years, </w:t>
      </w:r>
      <w:r>
        <w:rPr>
          <w:color w:val="231F20"/>
          <w:spacing w:val="5"/>
          <w:sz w:val="18"/>
        </w:rPr>
        <w:t>female </w:t>
      </w:r>
      <w:r>
        <w:rPr>
          <w:color w:val="231F20"/>
          <w:spacing w:val="3"/>
          <w:sz w:val="18"/>
        </w:rPr>
        <w:t>patient treated </w:t>
      </w:r>
      <w:r>
        <w:rPr>
          <w:color w:val="231F20"/>
          <w:sz w:val="18"/>
        </w:rPr>
        <w:t>by </w:t>
      </w:r>
      <w:r>
        <w:rPr>
          <w:color w:val="231F20"/>
          <w:spacing w:val="2"/>
          <w:sz w:val="18"/>
        </w:rPr>
        <w:t>the </w:t>
      </w:r>
      <w:r>
        <w:rPr>
          <w:color w:val="231F20"/>
          <w:spacing w:val="3"/>
          <w:sz w:val="18"/>
        </w:rPr>
        <w:t>described </w:t>
      </w:r>
      <w:r>
        <w:rPr>
          <w:color w:val="231F20"/>
          <w:spacing w:val="2"/>
          <w:sz w:val="18"/>
        </w:rPr>
        <w:t>maneuver. (A) </w:t>
      </w:r>
      <w:r>
        <w:rPr>
          <w:color w:val="231F20"/>
          <w:sz w:val="18"/>
        </w:rPr>
        <w:t>Visual </w:t>
      </w:r>
      <w:r>
        <w:rPr>
          <w:color w:val="231F20"/>
          <w:spacing w:val="4"/>
          <w:sz w:val="18"/>
        </w:rPr>
        <w:t>field </w:t>
      </w:r>
      <w:r>
        <w:rPr>
          <w:color w:val="231F20"/>
          <w:sz w:val="18"/>
        </w:rPr>
        <w:t>of the left eye: Pre-operative field "left image" with dramatic improvement in post-operative assessment "right image". </w:t>
      </w:r>
      <w:r>
        <w:rPr>
          <w:color w:val="231F20"/>
          <w:spacing w:val="2"/>
          <w:sz w:val="18"/>
        </w:rPr>
        <w:t>(B) </w:t>
      </w:r>
      <w:r>
        <w:rPr>
          <w:color w:val="231F20"/>
          <w:sz w:val="18"/>
        </w:rPr>
        <w:t>Visual field of the right eye: Pre-operative field "left </w:t>
      </w:r>
      <w:r>
        <w:rPr>
          <w:color w:val="231F20"/>
          <w:spacing w:val="2"/>
          <w:sz w:val="18"/>
        </w:rPr>
        <w:t>image" </w:t>
      </w:r>
      <w:r>
        <w:rPr>
          <w:color w:val="231F20"/>
          <w:sz w:val="18"/>
        </w:rPr>
        <w:t>with improvement in post-operative assessment "right</w:t>
      </w:r>
      <w:r>
        <w:rPr>
          <w:color w:val="231F20"/>
          <w:spacing w:val="40"/>
          <w:sz w:val="18"/>
        </w:rPr>
        <w:t> </w:t>
      </w:r>
      <w:r>
        <w:rPr>
          <w:color w:val="231F20"/>
          <w:sz w:val="18"/>
        </w:rPr>
        <w:t>image".</w:t>
      </w:r>
    </w:p>
    <w:p>
      <w:pPr>
        <w:pStyle w:val="Heading1"/>
        <w:spacing w:before="90"/>
        <w:ind w:left="1865" w:right="1873"/>
      </w:pPr>
      <w:r>
        <w:rPr>
          <w:b w:val="0"/>
        </w:rPr>
        <w:br w:type="column"/>
      </w:r>
      <w:r>
        <w:rPr>
          <w:color w:val="231F20"/>
        </w:rPr>
        <w:t>Discussion</w:t>
      </w:r>
    </w:p>
    <w:p>
      <w:pPr>
        <w:pStyle w:val="BodyText"/>
        <w:spacing w:line="228" w:lineRule="auto" w:before="175"/>
        <w:ind w:left="110" w:right="113" w:firstLine="311"/>
        <w:jc w:val="both"/>
      </w:pPr>
      <w:r>
        <w:rPr>
          <w:color w:val="231F20"/>
          <w:spacing w:val="5"/>
        </w:rPr>
        <w:t>Craniopharyngiomas </w:t>
      </w:r>
      <w:r>
        <w:rPr>
          <w:color w:val="231F20"/>
          <w:spacing w:val="4"/>
        </w:rPr>
        <w:t>(CPs) are </w:t>
      </w:r>
      <w:r>
        <w:rPr>
          <w:color w:val="231F20"/>
          <w:spacing w:val="5"/>
        </w:rPr>
        <w:t>benign, </w:t>
      </w:r>
      <w:r>
        <w:rPr>
          <w:color w:val="231F20"/>
          <w:spacing w:val="6"/>
        </w:rPr>
        <w:t>slow </w:t>
      </w:r>
      <w:r>
        <w:rPr>
          <w:color w:val="231F20"/>
        </w:rPr>
        <w:t>growing tumors whose ideal management remains </w:t>
      </w:r>
      <w:r>
        <w:rPr>
          <w:color w:val="231F20"/>
          <w:spacing w:val="6"/>
        </w:rPr>
        <w:t>controversial </w:t>
      </w:r>
      <w:r>
        <w:rPr>
          <w:color w:val="231F20"/>
          <w:spacing w:val="4"/>
        </w:rPr>
        <w:t>and </w:t>
      </w:r>
      <w:r>
        <w:rPr>
          <w:color w:val="231F20"/>
          <w:spacing w:val="6"/>
        </w:rPr>
        <w:t>challenging. </w:t>
      </w:r>
      <w:r>
        <w:rPr>
          <w:color w:val="231F20"/>
          <w:spacing w:val="5"/>
        </w:rPr>
        <w:t>They arise </w:t>
      </w:r>
      <w:r>
        <w:rPr>
          <w:color w:val="231F20"/>
          <w:spacing w:val="7"/>
        </w:rPr>
        <w:t>from remnants </w:t>
      </w:r>
      <w:r>
        <w:rPr>
          <w:color w:val="231F20"/>
          <w:spacing w:val="4"/>
        </w:rPr>
        <w:t>of </w:t>
      </w:r>
      <w:r>
        <w:rPr>
          <w:color w:val="231F20"/>
          <w:spacing w:val="6"/>
        </w:rPr>
        <w:t>the </w:t>
      </w:r>
      <w:r>
        <w:rPr>
          <w:color w:val="231F20"/>
          <w:spacing w:val="8"/>
        </w:rPr>
        <w:t>craniopharyngeal </w:t>
      </w:r>
      <w:r>
        <w:rPr>
          <w:color w:val="231F20"/>
          <w:spacing w:val="6"/>
        </w:rPr>
        <w:t>duct </w:t>
      </w:r>
      <w:r>
        <w:rPr>
          <w:color w:val="231F20"/>
          <w:spacing w:val="9"/>
        </w:rPr>
        <w:t>and/or </w:t>
      </w:r>
      <w:r>
        <w:rPr>
          <w:color w:val="231F20"/>
          <w:spacing w:val="3"/>
        </w:rPr>
        <w:t>Rathkes cleft. These tumors have </w:t>
      </w:r>
      <w:r>
        <w:rPr>
          <w:color w:val="231F20"/>
        </w:rPr>
        <w:t>an </w:t>
      </w:r>
      <w:r>
        <w:rPr>
          <w:color w:val="231F20"/>
          <w:spacing w:val="3"/>
        </w:rPr>
        <w:t>incidence </w:t>
      </w:r>
      <w:r>
        <w:rPr>
          <w:color w:val="231F20"/>
          <w:spacing w:val="4"/>
        </w:rPr>
        <w:t>of </w:t>
      </w:r>
      <w:r>
        <w:rPr>
          <w:color w:val="231F20"/>
          <w:spacing w:val="3"/>
        </w:rPr>
        <w:t>between 1.2% </w:t>
      </w:r>
      <w:r>
        <w:rPr>
          <w:color w:val="231F20"/>
          <w:spacing w:val="2"/>
        </w:rPr>
        <w:t>and </w:t>
      </w:r>
      <w:r>
        <w:rPr>
          <w:color w:val="231F20"/>
          <w:spacing w:val="3"/>
        </w:rPr>
        <w:t>4.6%, with </w:t>
      </w:r>
      <w:r>
        <w:rPr>
          <w:color w:val="231F20"/>
        </w:rPr>
        <w:t>a </w:t>
      </w:r>
      <w:r>
        <w:rPr>
          <w:color w:val="231F20"/>
          <w:spacing w:val="3"/>
        </w:rPr>
        <w:t>bimodal </w:t>
      </w:r>
      <w:r>
        <w:rPr>
          <w:color w:val="231F20"/>
          <w:spacing w:val="2"/>
        </w:rPr>
        <w:t>age </w:t>
      </w:r>
      <w:r>
        <w:rPr>
          <w:color w:val="231F20"/>
          <w:spacing w:val="4"/>
        </w:rPr>
        <w:t>dis- tribution, </w:t>
      </w:r>
      <w:r>
        <w:rPr>
          <w:color w:val="231F20"/>
          <w:spacing w:val="3"/>
        </w:rPr>
        <w:t>one peak </w:t>
      </w:r>
      <w:r>
        <w:rPr>
          <w:color w:val="231F20"/>
          <w:spacing w:val="4"/>
        </w:rPr>
        <w:t>occurring </w:t>
      </w:r>
      <w:r>
        <w:rPr>
          <w:color w:val="231F20"/>
          <w:spacing w:val="2"/>
        </w:rPr>
        <w:t>in </w:t>
      </w:r>
      <w:r>
        <w:rPr>
          <w:color w:val="231F20"/>
          <w:spacing w:val="4"/>
        </w:rPr>
        <w:t>children </w:t>
      </w:r>
      <w:r>
        <w:rPr>
          <w:color w:val="231F20"/>
          <w:spacing w:val="3"/>
        </w:rPr>
        <w:t>and </w:t>
      </w:r>
      <w:r>
        <w:rPr>
          <w:color w:val="231F20"/>
          <w:spacing w:val="5"/>
        </w:rPr>
        <w:t>the </w:t>
      </w:r>
      <w:r>
        <w:rPr>
          <w:color w:val="231F20"/>
          <w:spacing w:val="4"/>
        </w:rPr>
        <w:t>other </w:t>
      </w:r>
      <w:r>
        <w:rPr>
          <w:color w:val="231F20"/>
          <w:spacing w:val="3"/>
        </w:rPr>
        <w:t>in </w:t>
      </w:r>
      <w:r>
        <w:rPr>
          <w:color w:val="231F20"/>
          <w:spacing w:val="5"/>
        </w:rPr>
        <w:t>adults between </w:t>
      </w:r>
      <w:r>
        <w:rPr>
          <w:color w:val="231F20"/>
          <w:spacing w:val="4"/>
        </w:rPr>
        <w:t>the </w:t>
      </w:r>
      <w:r>
        <w:rPr>
          <w:color w:val="231F20"/>
          <w:spacing w:val="3"/>
        </w:rPr>
        <w:t>4</w:t>
      </w:r>
      <w:r>
        <w:rPr>
          <w:color w:val="231F20"/>
          <w:spacing w:val="3"/>
          <w:position w:val="5"/>
          <w:sz w:val="18"/>
        </w:rPr>
        <w:t>th </w:t>
      </w:r>
      <w:r>
        <w:rPr>
          <w:color w:val="231F20"/>
          <w:spacing w:val="4"/>
        </w:rPr>
        <w:t>and </w:t>
      </w:r>
      <w:r>
        <w:rPr>
          <w:color w:val="231F20"/>
          <w:spacing w:val="3"/>
        </w:rPr>
        <w:t>6</w:t>
      </w:r>
      <w:r>
        <w:rPr>
          <w:color w:val="231F20"/>
          <w:spacing w:val="3"/>
          <w:position w:val="5"/>
          <w:sz w:val="18"/>
        </w:rPr>
        <w:t>th </w:t>
      </w:r>
      <w:r>
        <w:rPr>
          <w:color w:val="231F20"/>
          <w:spacing w:val="6"/>
        </w:rPr>
        <w:t>decades. </w:t>
      </w:r>
      <w:r>
        <w:rPr>
          <w:color w:val="231F20"/>
          <w:spacing w:val="2"/>
        </w:rPr>
        <w:t>These tumors </w:t>
      </w:r>
      <w:r>
        <w:rPr>
          <w:color w:val="231F20"/>
        </w:rPr>
        <w:t>are </w:t>
      </w:r>
      <w:r>
        <w:rPr>
          <w:color w:val="231F20"/>
          <w:spacing w:val="2"/>
        </w:rPr>
        <w:t>located close </w:t>
      </w:r>
      <w:r>
        <w:rPr>
          <w:color w:val="231F20"/>
        </w:rPr>
        <w:t>to the </w:t>
      </w:r>
      <w:r>
        <w:rPr>
          <w:color w:val="231F20"/>
          <w:spacing w:val="2"/>
        </w:rPr>
        <w:t>visual </w:t>
      </w:r>
      <w:r>
        <w:rPr>
          <w:color w:val="231F20"/>
          <w:spacing w:val="3"/>
        </w:rPr>
        <w:t>appa- </w:t>
      </w:r>
      <w:r>
        <w:rPr>
          <w:color w:val="231F20"/>
          <w:spacing w:val="2"/>
        </w:rPr>
        <w:t>ratus, hypothalamus, pituitary stalk, </w:t>
      </w:r>
      <w:r>
        <w:rPr>
          <w:color w:val="231F20"/>
        </w:rPr>
        <w:t>3</w:t>
      </w:r>
      <w:r>
        <w:rPr>
          <w:color w:val="231F20"/>
          <w:position w:val="5"/>
          <w:sz w:val="18"/>
        </w:rPr>
        <w:t>rd </w:t>
      </w:r>
      <w:r>
        <w:rPr>
          <w:color w:val="231F20"/>
          <w:spacing w:val="3"/>
        </w:rPr>
        <w:t>ventricle, </w:t>
      </w:r>
      <w:r>
        <w:rPr>
          <w:color w:val="231F20"/>
          <w:spacing w:val="2"/>
        </w:rPr>
        <w:t>and </w:t>
      </w:r>
      <w:r>
        <w:rPr>
          <w:color w:val="231F20"/>
          <w:spacing w:val="3"/>
        </w:rPr>
        <w:t>vasculature from </w:t>
      </w:r>
      <w:r>
        <w:rPr>
          <w:color w:val="231F20"/>
          <w:spacing w:val="2"/>
        </w:rPr>
        <w:t>the </w:t>
      </w:r>
      <w:r>
        <w:rPr>
          <w:color w:val="231F20"/>
          <w:spacing w:val="3"/>
        </w:rPr>
        <w:t>circle </w:t>
      </w:r>
      <w:r>
        <w:rPr>
          <w:color w:val="231F20"/>
        </w:rPr>
        <w:t>of Willis</w:t>
      </w:r>
      <w:r>
        <w:rPr>
          <w:color w:val="231F20"/>
          <w:spacing w:val="52"/>
        </w:rPr>
        <w:t> </w:t>
      </w:r>
      <w:r>
        <w:rPr>
          <w:b/>
          <w:color w:val="231F20"/>
          <w:spacing w:val="2"/>
          <w:sz w:val="18"/>
        </w:rPr>
        <w:t>[1]</w:t>
      </w:r>
      <w:r>
        <w:rPr>
          <w:color w:val="231F20"/>
          <w:spacing w:val="2"/>
        </w:rPr>
        <w:t>.</w:t>
      </w:r>
    </w:p>
    <w:p>
      <w:pPr>
        <w:pStyle w:val="BodyText"/>
        <w:spacing w:line="230" w:lineRule="auto" w:before="162"/>
        <w:ind w:left="110" w:right="116" w:firstLine="311"/>
        <w:jc w:val="both"/>
      </w:pPr>
      <w:r>
        <w:rPr>
          <w:color w:val="231F20"/>
        </w:rPr>
        <w:t>The Ommaya reservoir is used widely in neuro- </w:t>
      </w:r>
      <w:r>
        <w:rPr>
          <w:color w:val="231F20"/>
          <w:spacing w:val="-3"/>
        </w:rPr>
        <w:t>oncology,</w:t>
      </w:r>
      <w:r>
        <w:rPr>
          <w:color w:val="231F20"/>
          <w:spacing w:val="-11"/>
        </w:rPr>
        <w:t> </w:t>
      </w:r>
      <w:r>
        <w:rPr>
          <w:color w:val="231F20"/>
        </w:rPr>
        <w:t>primarily</w:t>
      </w:r>
      <w:r>
        <w:rPr>
          <w:color w:val="231F20"/>
          <w:spacing w:val="-10"/>
        </w:rPr>
        <w:t> </w:t>
      </w:r>
      <w:r>
        <w:rPr>
          <w:color w:val="231F20"/>
        </w:rPr>
        <w:t>for</w:t>
      </w:r>
      <w:r>
        <w:rPr>
          <w:color w:val="231F20"/>
          <w:spacing w:val="-11"/>
        </w:rPr>
        <w:t> </w:t>
      </w:r>
      <w:r>
        <w:rPr>
          <w:color w:val="231F20"/>
        </w:rPr>
        <w:t>the</w:t>
      </w:r>
      <w:r>
        <w:rPr>
          <w:color w:val="231F20"/>
          <w:spacing w:val="-10"/>
        </w:rPr>
        <w:t> </w:t>
      </w:r>
      <w:r>
        <w:rPr>
          <w:color w:val="231F20"/>
        </w:rPr>
        <w:t>instillation</w:t>
      </w:r>
      <w:r>
        <w:rPr>
          <w:color w:val="231F20"/>
          <w:spacing w:val="-11"/>
        </w:rPr>
        <w:t> </w:t>
      </w:r>
      <w:r>
        <w:rPr>
          <w:color w:val="231F20"/>
        </w:rPr>
        <w:t>of</w:t>
      </w:r>
      <w:r>
        <w:rPr>
          <w:color w:val="231F20"/>
          <w:spacing w:val="-10"/>
        </w:rPr>
        <w:t> </w:t>
      </w:r>
      <w:r>
        <w:rPr>
          <w:color w:val="231F20"/>
        </w:rPr>
        <w:t>intrathecal chemotherapy and frequent CSF tapping in patients </w:t>
      </w:r>
      <w:r>
        <w:rPr>
          <w:color w:val="231F20"/>
          <w:spacing w:val="2"/>
        </w:rPr>
        <w:t>with </w:t>
      </w:r>
      <w:r>
        <w:rPr>
          <w:color w:val="231F20"/>
        </w:rPr>
        <w:t>CNS </w:t>
      </w:r>
      <w:r>
        <w:rPr>
          <w:color w:val="231F20"/>
          <w:spacing w:val="2"/>
        </w:rPr>
        <w:t>disease </w:t>
      </w:r>
      <w:r>
        <w:rPr>
          <w:b/>
          <w:color w:val="231F20"/>
          <w:sz w:val="18"/>
        </w:rPr>
        <w:t>[7]</w:t>
      </w:r>
      <w:r>
        <w:rPr>
          <w:color w:val="231F20"/>
        </w:rPr>
        <w:t>. </w:t>
      </w:r>
      <w:r>
        <w:rPr>
          <w:color w:val="231F20"/>
          <w:spacing w:val="-7"/>
        </w:rPr>
        <w:t>We </w:t>
      </w:r>
      <w:r>
        <w:rPr>
          <w:color w:val="231F20"/>
          <w:spacing w:val="2"/>
        </w:rPr>
        <w:t>used </w:t>
      </w:r>
      <w:r>
        <w:rPr>
          <w:color w:val="231F20"/>
        </w:rPr>
        <w:t>the </w:t>
      </w:r>
      <w:r>
        <w:rPr>
          <w:color w:val="231F20"/>
          <w:spacing w:val="2"/>
        </w:rPr>
        <w:t>ommaya </w:t>
      </w:r>
      <w:r>
        <w:rPr>
          <w:color w:val="231F20"/>
          <w:spacing w:val="3"/>
        </w:rPr>
        <w:t>reser- </w:t>
      </w:r>
      <w:r>
        <w:rPr>
          <w:color w:val="231F20"/>
          <w:spacing w:val="4"/>
        </w:rPr>
        <w:t>voir </w:t>
      </w:r>
      <w:r>
        <w:rPr>
          <w:color w:val="231F20"/>
          <w:spacing w:val="3"/>
        </w:rPr>
        <w:t>to </w:t>
      </w:r>
      <w:r>
        <w:rPr>
          <w:color w:val="231F20"/>
          <w:spacing w:val="5"/>
        </w:rPr>
        <w:t>continuously </w:t>
      </w:r>
      <w:r>
        <w:rPr>
          <w:color w:val="231F20"/>
          <w:spacing w:val="4"/>
        </w:rPr>
        <w:t>drain the </w:t>
      </w:r>
      <w:r>
        <w:rPr>
          <w:color w:val="231F20"/>
          <w:spacing w:val="5"/>
        </w:rPr>
        <w:t>cystic </w:t>
      </w:r>
      <w:r>
        <w:rPr>
          <w:color w:val="231F20"/>
          <w:spacing w:val="6"/>
        </w:rPr>
        <w:t>component </w:t>
      </w:r>
      <w:r>
        <w:rPr>
          <w:color w:val="231F20"/>
        </w:rPr>
        <w:t>of</w:t>
      </w:r>
      <w:r>
        <w:rPr>
          <w:color w:val="231F20"/>
          <w:spacing w:val="8"/>
        </w:rPr>
        <w:t> </w:t>
      </w:r>
      <w:r>
        <w:rPr>
          <w:color w:val="231F20"/>
          <w:spacing w:val="4"/>
        </w:rPr>
        <w:t>craniopharyngiomas.</w:t>
      </w:r>
    </w:p>
    <w:p>
      <w:pPr>
        <w:pStyle w:val="BodyText"/>
        <w:spacing w:line="230" w:lineRule="auto" w:before="168"/>
        <w:ind w:left="110" w:right="113" w:firstLine="311"/>
        <w:jc w:val="both"/>
      </w:pPr>
      <w:r>
        <w:rPr>
          <w:color w:val="231F20"/>
          <w:spacing w:val="5"/>
        </w:rPr>
        <w:t>Ommaya reservoir placement </w:t>
      </w:r>
      <w:r>
        <w:rPr>
          <w:color w:val="231F20"/>
          <w:spacing w:val="3"/>
        </w:rPr>
        <w:t>is </w:t>
      </w:r>
      <w:r>
        <w:rPr>
          <w:color w:val="231F20"/>
          <w:spacing w:val="5"/>
        </w:rPr>
        <w:t>frequently </w:t>
      </w:r>
      <w:r>
        <w:rPr>
          <w:color w:val="231F20"/>
        </w:rPr>
        <w:t>a </w:t>
      </w:r>
      <w:r>
        <w:rPr>
          <w:color w:val="231F20"/>
          <w:spacing w:val="3"/>
        </w:rPr>
        <w:t>procedure performed </w:t>
      </w:r>
      <w:r>
        <w:rPr>
          <w:color w:val="231F20"/>
        </w:rPr>
        <w:t>in </w:t>
      </w:r>
      <w:r>
        <w:rPr>
          <w:color w:val="231F20"/>
          <w:spacing w:val="3"/>
        </w:rPr>
        <w:t>very </w:t>
      </w:r>
      <w:r>
        <w:rPr>
          <w:color w:val="231F20"/>
          <w:spacing w:val="2"/>
        </w:rPr>
        <w:t>ill </w:t>
      </w:r>
      <w:r>
        <w:rPr>
          <w:color w:val="231F20"/>
          <w:spacing w:val="3"/>
        </w:rPr>
        <w:t>patients with </w:t>
      </w:r>
      <w:r>
        <w:rPr>
          <w:color w:val="231F20"/>
          <w:spacing w:val="4"/>
        </w:rPr>
        <w:t>late </w:t>
      </w:r>
      <w:r>
        <w:rPr>
          <w:color w:val="231F20"/>
        </w:rPr>
        <w:t>stage disease, in whom minimizing anesthesia </w:t>
      </w:r>
      <w:r>
        <w:rPr>
          <w:color w:val="231F20"/>
          <w:spacing w:val="2"/>
        </w:rPr>
        <w:t>and </w:t>
      </w:r>
      <w:r>
        <w:rPr>
          <w:color w:val="231F20"/>
          <w:spacing w:val="8"/>
        </w:rPr>
        <w:t>operative </w:t>
      </w:r>
      <w:r>
        <w:rPr>
          <w:color w:val="231F20"/>
          <w:spacing w:val="6"/>
        </w:rPr>
        <w:t>time </w:t>
      </w:r>
      <w:r>
        <w:rPr>
          <w:color w:val="231F20"/>
          <w:spacing w:val="4"/>
        </w:rPr>
        <w:t>is </w:t>
      </w:r>
      <w:r>
        <w:rPr>
          <w:color w:val="231F20"/>
          <w:spacing w:val="8"/>
        </w:rPr>
        <w:t>important </w:t>
      </w:r>
      <w:r>
        <w:rPr>
          <w:color w:val="231F20"/>
          <w:spacing w:val="6"/>
        </w:rPr>
        <w:t>for </w:t>
      </w:r>
      <w:r>
        <w:rPr>
          <w:color w:val="231F20"/>
          <w:spacing w:val="7"/>
        </w:rPr>
        <w:t>reducing </w:t>
      </w:r>
      <w:r>
        <w:rPr>
          <w:color w:val="231F20"/>
          <w:spacing w:val="9"/>
        </w:rPr>
        <w:t>peri- </w:t>
      </w:r>
      <w:r>
        <w:rPr>
          <w:color w:val="231F20"/>
        </w:rPr>
        <w:t>operative</w:t>
      </w:r>
      <w:r>
        <w:rPr>
          <w:color w:val="231F20"/>
          <w:spacing w:val="-14"/>
        </w:rPr>
        <w:t> </w:t>
      </w:r>
      <w:r>
        <w:rPr>
          <w:color w:val="231F20"/>
        </w:rPr>
        <w:t>risk.</w:t>
      </w:r>
      <w:r>
        <w:rPr>
          <w:color w:val="231F20"/>
          <w:spacing w:val="-13"/>
        </w:rPr>
        <w:t> </w:t>
      </w:r>
      <w:r>
        <w:rPr>
          <w:color w:val="231F20"/>
        </w:rPr>
        <w:t>Before</w:t>
      </w:r>
      <w:r>
        <w:rPr>
          <w:color w:val="231F20"/>
          <w:spacing w:val="-13"/>
        </w:rPr>
        <w:t> </w:t>
      </w:r>
      <w:r>
        <w:rPr>
          <w:color w:val="231F20"/>
        </w:rPr>
        <w:t>the</w:t>
      </w:r>
      <w:r>
        <w:rPr>
          <w:color w:val="231F20"/>
          <w:spacing w:val="-13"/>
        </w:rPr>
        <w:t> </w:t>
      </w:r>
      <w:r>
        <w:rPr>
          <w:color w:val="231F20"/>
        </w:rPr>
        <w:t>advent</w:t>
      </w:r>
      <w:r>
        <w:rPr>
          <w:color w:val="231F20"/>
          <w:spacing w:val="-13"/>
        </w:rPr>
        <w:t> </w:t>
      </w:r>
      <w:r>
        <w:rPr>
          <w:color w:val="231F20"/>
        </w:rPr>
        <w:t>of</w:t>
      </w:r>
      <w:r>
        <w:rPr>
          <w:color w:val="231F20"/>
          <w:spacing w:val="-13"/>
        </w:rPr>
        <w:t> </w:t>
      </w:r>
      <w:r>
        <w:rPr>
          <w:color w:val="231F20"/>
        </w:rPr>
        <w:t>neuronavigation using infrared and other tracking modalities,</w:t>
      </w:r>
      <w:r>
        <w:rPr>
          <w:color w:val="231F20"/>
          <w:spacing w:val="35"/>
        </w:rPr>
        <w:t> </w:t>
      </w:r>
      <w:r>
        <w:rPr>
          <w:color w:val="231F20"/>
        </w:rPr>
        <w:t>fluor-</w:t>
      </w:r>
    </w:p>
    <w:p>
      <w:pPr>
        <w:spacing w:after="0" w:line="230" w:lineRule="auto"/>
        <w:jc w:val="both"/>
        <w:sectPr>
          <w:type w:val="continuous"/>
          <w:pgSz w:w="11900" w:h="16820"/>
          <w:pgMar w:top="1480" w:bottom="280" w:left="1080" w:right="1060"/>
          <w:cols w:num="2" w:equalWidth="0">
            <w:col w:w="4692" w:space="298"/>
            <w:col w:w="4770"/>
          </w:cols>
        </w:sectPr>
      </w:pPr>
    </w:p>
    <w:p>
      <w:pPr>
        <w:pStyle w:val="BodyText"/>
        <w:spacing w:before="2"/>
        <w:rPr>
          <w:sz w:val="21"/>
        </w:rPr>
      </w:pPr>
    </w:p>
    <w:p>
      <w:pPr>
        <w:spacing w:after="0"/>
        <w:rPr>
          <w:sz w:val="21"/>
        </w:rPr>
        <w:sectPr>
          <w:headerReference w:type="default" r:id="rId19"/>
          <w:pgSz w:w="11900" w:h="16820"/>
          <w:pgMar w:header="1286" w:footer="0" w:top="1520" w:bottom="280" w:left="1080" w:right="1060"/>
        </w:sectPr>
      </w:pPr>
    </w:p>
    <w:p>
      <w:pPr>
        <w:pStyle w:val="BodyText"/>
        <w:spacing w:line="228" w:lineRule="auto" w:before="101"/>
        <w:ind w:left="108" w:right="38"/>
      </w:pPr>
      <w:r>
        <w:rPr>
          <w:color w:val="231F20"/>
        </w:rPr>
        <w:t>oscopy was available to monitor catheter</w:t>
      </w:r>
      <w:r>
        <w:rPr>
          <w:color w:val="231F20"/>
          <w:spacing w:val="-30"/>
        </w:rPr>
        <w:t> </w:t>
      </w:r>
      <w:r>
        <w:rPr>
          <w:color w:val="231F20"/>
        </w:rPr>
        <w:t>placement </w:t>
      </w:r>
      <w:r>
        <w:rPr>
          <w:color w:val="231F20"/>
          <w:spacing w:val="3"/>
        </w:rPr>
        <w:t>intraoperatively</w:t>
      </w:r>
      <w:r>
        <w:rPr>
          <w:color w:val="231F20"/>
          <w:spacing w:val="8"/>
        </w:rPr>
        <w:t> </w:t>
      </w:r>
      <w:r>
        <w:rPr>
          <w:b/>
          <w:color w:val="231F20"/>
          <w:spacing w:val="3"/>
          <w:sz w:val="18"/>
        </w:rPr>
        <w:t>[8]</w:t>
      </w:r>
      <w:r>
        <w:rPr>
          <w:color w:val="231F20"/>
          <w:spacing w:val="3"/>
        </w:rPr>
        <w:t>.</w:t>
      </w:r>
    </w:p>
    <w:p>
      <w:pPr>
        <w:pStyle w:val="BodyText"/>
        <w:spacing w:line="228" w:lineRule="auto" w:before="177"/>
        <w:ind w:left="108" w:right="40" w:firstLine="311"/>
        <w:jc w:val="both"/>
      </w:pPr>
      <w:r>
        <w:rPr>
          <w:color w:val="231F20"/>
          <w:spacing w:val="-6"/>
        </w:rPr>
        <w:t>We </w:t>
      </w:r>
      <w:r>
        <w:rPr>
          <w:color w:val="231F20"/>
          <w:spacing w:val="6"/>
        </w:rPr>
        <w:t>consider </w:t>
      </w:r>
      <w:r>
        <w:rPr>
          <w:color w:val="231F20"/>
          <w:spacing w:val="5"/>
        </w:rPr>
        <w:t>that </w:t>
      </w:r>
      <w:r>
        <w:rPr>
          <w:color w:val="231F20"/>
          <w:spacing w:val="6"/>
        </w:rPr>
        <w:t>fluoroscopic guidance </w:t>
      </w:r>
      <w:r>
        <w:rPr>
          <w:color w:val="231F20"/>
          <w:spacing w:val="7"/>
        </w:rPr>
        <w:t>was </w:t>
      </w:r>
      <w:r>
        <w:rPr>
          <w:color w:val="231F20"/>
          <w:spacing w:val="6"/>
        </w:rPr>
        <w:t>associated </w:t>
      </w:r>
      <w:r>
        <w:rPr>
          <w:color w:val="231F20"/>
          <w:spacing w:val="5"/>
        </w:rPr>
        <w:t>with safety </w:t>
      </w:r>
      <w:r>
        <w:rPr>
          <w:color w:val="231F20"/>
          <w:spacing w:val="4"/>
        </w:rPr>
        <w:t>and </w:t>
      </w:r>
      <w:r>
        <w:rPr>
          <w:color w:val="231F20"/>
          <w:spacing w:val="6"/>
        </w:rPr>
        <w:t>simplicity </w:t>
      </w:r>
      <w:r>
        <w:rPr>
          <w:color w:val="231F20"/>
          <w:spacing w:val="3"/>
        </w:rPr>
        <w:t>on </w:t>
      </w:r>
      <w:r>
        <w:rPr>
          <w:color w:val="231F20"/>
          <w:spacing w:val="4"/>
        </w:rPr>
        <w:t>top </w:t>
      </w:r>
      <w:r>
        <w:rPr>
          <w:color w:val="231F20"/>
          <w:spacing w:val="7"/>
        </w:rPr>
        <w:t>of </w:t>
      </w:r>
      <w:r>
        <w:rPr>
          <w:color w:val="231F20"/>
          <w:spacing w:val="3"/>
        </w:rPr>
        <w:t>acceptable</w:t>
      </w:r>
      <w:r>
        <w:rPr>
          <w:color w:val="231F20"/>
          <w:spacing w:val="8"/>
        </w:rPr>
        <w:t> </w:t>
      </w:r>
      <w:r>
        <w:rPr>
          <w:color w:val="231F20"/>
          <w:spacing w:val="2"/>
        </w:rPr>
        <w:t>accuracy.</w:t>
      </w:r>
    </w:p>
    <w:p>
      <w:pPr>
        <w:pStyle w:val="BodyText"/>
        <w:spacing w:line="228" w:lineRule="auto" w:before="179"/>
        <w:ind w:left="108" w:right="38" w:firstLine="311"/>
        <w:jc w:val="both"/>
      </w:pPr>
      <w:r>
        <w:rPr>
          <w:color w:val="231F20"/>
        </w:rPr>
        <w:t>Much</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evidence</w:t>
      </w:r>
      <w:r>
        <w:rPr>
          <w:color w:val="231F20"/>
          <w:spacing w:val="-9"/>
        </w:rPr>
        <w:t> </w:t>
      </w:r>
      <w:r>
        <w:rPr>
          <w:color w:val="231F20"/>
        </w:rPr>
        <w:t>regarding</w:t>
      </w:r>
      <w:r>
        <w:rPr>
          <w:color w:val="231F20"/>
          <w:spacing w:val="-10"/>
        </w:rPr>
        <w:t> </w:t>
      </w:r>
      <w:r>
        <w:rPr>
          <w:color w:val="231F20"/>
        </w:rPr>
        <w:t>image</w:t>
      </w:r>
      <w:r>
        <w:rPr>
          <w:color w:val="231F20"/>
          <w:spacing w:val="-10"/>
        </w:rPr>
        <w:t> </w:t>
      </w:r>
      <w:r>
        <w:rPr>
          <w:color w:val="231F20"/>
        </w:rPr>
        <w:t>guidance </w:t>
      </w:r>
      <w:r>
        <w:rPr>
          <w:color w:val="231F20"/>
          <w:spacing w:val="2"/>
        </w:rPr>
        <w:t>for </w:t>
      </w:r>
      <w:r>
        <w:rPr>
          <w:color w:val="231F20"/>
          <w:spacing w:val="3"/>
        </w:rPr>
        <w:t>ventricular catheter placement </w:t>
      </w:r>
      <w:r>
        <w:rPr>
          <w:color w:val="231F20"/>
        </w:rPr>
        <w:t>is </w:t>
      </w:r>
      <w:r>
        <w:rPr>
          <w:color w:val="231F20"/>
          <w:spacing w:val="3"/>
        </w:rPr>
        <w:t>found </w:t>
      </w:r>
      <w:r>
        <w:rPr>
          <w:color w:val="231F20"/>
        </w:rPr>
        <w:t>in </w:t>
      </w:r>
      <w:r>
        <w:rPr>
          <w:color w:val="231F20"/>
          <w:spacing w:val="4"/>
        </w:rPr>
        <w:t>the </w:t>
      </w:r>
      <w:r>
        <w:rPr>
          <w:color w:val="231F20"/>
          <w:spacing w:val="2"/>
        </w:rPr>
        <w:t>literature describing ventricular shunt </w:t>
      </w:r>
      <w:r>
        <w:rPr>
          <w:color w:val="231F20"/>
          <w:spacing w:val="3"/>
        </w:rPr>
        <w:t>procedures. </w:t>
      </w:r>
      <w:r>
        <w:rPr>
          <w:color w:val="231F20"/>
        </w:rPr>
        <w:t>It has been well established that using image guid- ance to place a ventricular catheter results in more </w:t>
      </w:r>
      <w:r>
        <w:rPr>
          <w:color w:val="231F20"/>
          <w:spacing w:val="6"/>
        </w:rPr>
        <w:t>accurate catheter placement </w:t>
      </w:r>
      <w:r>
        <w:rPr>
          <w:color w:val="231F20"/>
          <w:spacing w:val="5"/>
        </w:rPr>
        <w:t>than </w:t>
      </w:r>
      <w:r>
        <w:rPr>
          <w:color w:val="231F20"/>
          <w:spacing w:val="3"/>
        </w:rPr>
        <w:t>by </w:t>
      </w:r>
      <w:r>
        <w:rPr>
          <w:color w:val="231F20"/>
        </w:rPr>
        <w:t>a </w:t>
      </w:r>
      <w:r>
        <w:rPr>
          <w:color w:val="231F20"/>
          <w:spacing w:val="7"/>
        </w:rPr>
        <w:t>freehand </w:t>
      </w:r>
      <w:r>
        <w:rPr>
          <w:color w:val="231F20"/>
          <w:spacing w:val="6"/>
        </w:rPr>
        <w:t>technique </w:t>
      </w:r>
      <w:r>
        <w:rPr>
          <w:b/>
          <w:color w:val="231F20"/>
          <w:spacing w:val="5"/>
          <w:sz w:val="18"/>
        </w:rPr>
        <w:t>[8,9]</w:t>
      </w:r>
      <w:r>
        <w:rPr>
          <w:color w:val="231F20"/>
          <w:spacing w:val="5"/>
        </w:rPr>
        <w:t>. </w:t>
      </w:r>
      <w:r>
        <w:rPr>
          <w:color w:val="231F20"/>
          <w:spacing w:val="3"/>
        </w:rPr>
        <w:t>By </w:t>
      </w:r>
      <w:r>
        <w:rPr>
          <w:color w:val="231F20"/>
          <w:spacing w:val="5"/>
        </w:rPr>
        <w:t>using </w:t>
      </w:r>
      <w:r>
        <w:rPr>
          <w:color w:val="231F20"/>
          <w:spacing w:val="4"/>
        </w:rPr>
        <w:t>the </w:t>
      </w:r>
      <w:r>
        <w:rPr>
          <w:color w:val="231F20"/>
          <w:spacing w:val="5"/>
        </w:rPr>
        <w:t>same </w:t>
      </w:r>
      <w:r>
        <w:rPr>
          <w:color w:val="231F20"/>
          <w:spacing w:val="6"/>
        </w:rPr>
        <w:t>principle </w:t>
      </w:r>
      <w:r>
        <w:rPr>
          <w:color w:val="231F20"/>
          <w:spacing w:val="7"/>
        </w:rPr>
        <w:t>we could place </w:t>
      </w:r>
      <w:r>
        <w:rPr>
          <w:color w:val="231F20"/>
          <w:spacing w:val="6"/>
        </w:rPr>
        <w:t>the </w:t>
      </w:r>
      <w:r>
        <w:rPr>
          <w:color w:val="231F20"/>
          <w:spacing w:val="7"/>
        </w:rPr>
        <w:t>catheter directly </w:t>
      </w:r>
      <w:r>
        <w:rPr>
          <w:color w:val="231F20"/>
          <w:spacing w:val="4"/>
        </w:rPr>
        <w:t>in </w:t>
      </w:r>
      <w:r>
        <w:rPr>
          <w:color w:val="231F20"/>
          <w:spacing w:val="6"/>
        </w:rPr>
        <w:t>the </w:t>
      </w:r>
      <w:r>
        <w:rPr>
          <w:color w:val="231F20"/>
          <w:spacing w:val="9"/>
        </w:rPr>
        <w:t>cystic </w:t>
      </w:r>
      <w:r>
        <w:rPr>
          <w:color w:val="231F20"/>
          <w:spacing w:val="5"/>
        </w:rPr>
        <w:t>component </w:t>
      </w:r>
      <w:r>
        <w:rPr>
          <w:color w:val="231F20"/>
          <w:spacing w:val="3"/>
        </w:rPr>
        <w:t>of </w:t>
      </w:r>
      <w:r>
        <w:rPr>
          <w:color w:val="231F20"/>
          <w:spacing w:val="5"/>
        </w:rPr>
        <w:t>craniophayngioma </w:t>
      </w:r>
      <w:r>
        <w:rPr>
          <w:color w:val="231F20"/>
          <w:spacing w:val="4"/>
        </w:rPr>
        <w:t>but </w:t>
      </w:r>
      <w:r>
        <w:rPr>
          <w:color w:val="231F20"/>
          <w:spacing w:val="6"/>
        </w:rPr>
        <w:t>depending </w:t>
      </w:r>
      <w:r>
        <w:rPr>
          <w:color w:val="231F20"/>
        </w:rPr>
        <w:t>on the bony fixed structures found near the </w:t>
      </w:r>
      <w:r>
        <w:rPr>
          <w:color w:val="231F20"/>
          <w:spacing w:val="2"/>
        </w:rPr>
        <w:t>supra- sellar area. </w:t>
      </w:r>
      <w:r>
        <w:rPr>
          <w:color w:val="231F20"/>
        </w:rPr>
        <w:t>So, </w:t>
      </w:r>
      <w:r>
        <w:rPr>
          <w:color w:val="231F20"/>
          <w:spacing w:val="2"/>
        </w:rPr>
        <w:t>it's </w:t>
      </w:r>
      <w:r>
        <w:rPr>
          <w:color w:val="231F20"/>
        </w:rPr>
        <w:t>not </w:t>
      </w:r>
      <w:r>
        <w:rPr>
          <w:color w:val="231F20"/>
          <w:spacing w:val="2"/>
        </w:rPr>
        <w:t>affected </w:t>
      </w:r>
      <w:r>
        <w:rPr>
          <w:color w:val="231F20"/>
        </w:rPr>
        <w:t>by </w:t>
      </w:r>
      <w:r>
        <w:rPr>
          <w:color w:val="231F20"/>
          <w:spacing w:val="2"/>
        </w:rPr>
        <w:t>errors that </w:t>
      </w:r>
      <w:r>
        <w:rPr>
          <w:color w:val="231F20"/>
          <w:spacing w:val="3"/>
        </w:rPr>
        <w:t>may </w:t>
      </w:r>
      <w:r>
        <w:rPr>
          <w:color w:val="231F20"/>
        </w:rPr>
        <w:t>occur with navigator after egress of some cyst fluid </w:t>
      </w:r>
      <w:r>
        <w:rPr>
          <w:color w:val="231F20"/>
          <w:spacing w:val="3"/>
        </w:rPr>
        <w:t>(brain shift</w:t>
      </w:r>
      <w:r>
        <w:rPr>
          <w:color w:val="231F20"/>
          <w:spacing w:val="13"/>
        </w:rPr>
        <w:t> </w:t>
      </w:r>
      <w:r>
        <w:rPr>
          <w:color w:val="231F20"/>
          <w:spacing w:val="4"/>
        </w:rPr>
        <w:t>like).</w:t>
      </w:r>
    </w:p>
    <w:p>
      <w:pPr>
        <w:pStyle w:val="BodyText"/>
        <w:spacing w:line="228" w:lineRule="auto" w:before="191"/>
        <w:ind w:left="108" w:right="38" w:firstLine="311"/>
        <w:jc w:val="both"/>
      </w:pPr>
      <w:r>
        <w:rPr>
          <w:color w:val="231F20"/>
          <w:spacing w:val="4"/>
        </w:rPr>
        <w:t>In </w:t>
      </w:r>
      <w:r>
        <w:rPr>
          <w:color w:val="231F20"/>
          <w:spacing w:val="7"/>
        </w:rPr>
        <w:t>order </w:t>
      </w:r>
      <w:r>
        <w:rPr>
          <w:color w:val="231F20"/>
          <w:spacing w:val="4"/>
        </w:rPr>
        <w:t>to </w:t>
      </w:r>
      <w:r>
        <w:rPr>
          <w:color w:val="231F20"/>
          <w:spacing w:val="7"/>
        </w:rPr>
        <w:t>assess </w:t>
      </w:r>
      <w:r>
        <w:rPr>
          <w:color w:val="231F20"/>
          <w:spacing w:val="6"/>
        </w:rPr>
        <w:t>the </w:t>
      </w:r>
      <w:r>
        <w:rPr>
          <w:color w:val="231F20"/>
          <w:spacing w:val="7"/>
        </w:rPr>
        <w:t>accuracy </w:t>
      </w:r>
      <w:r>
        <w:rPr>
          <w:color w:val="231F20"/>
          <w:spacing w:val="4"/>
        </w:rPr>
        <w:t>of </w:t>
      </w:r>
      <w:r>
        <w:rPr>
          <w:color w:val="231F20"/>
          <w:spacing w:val="9"/>
        </w:rPr>
        <w:t>catheter </w:t>
      </w:r>
      <w:r>
        <w:rPr>
          <w:color w:val="231F20"/>
        </w:rPr>
        <w:t>placement, we relied on two parameters first is </w:t>
      </w:r>
      <w:r>
        <w:rPr>
          <w:color w:val="231F20"/>
          <w:spacing w:val="2"/>
        </w:rPr>
        <w:t>the position </w:t>
      </w:r>
      <w:r>
        <w:rPr>
          <w:color w:val="231F20"/>
        </w:rPr>
        <w:t>of the </w:t>
      </w:r>
      <w:r>
        <w:rPr>
          <w:color w:val="231F20"/>
          <w:spacing w:val="2"/>
        </w:rPr>
        <w:t>catheter inside </w:t>
      </w:r>
      <w:r>
        <w:rPr>
          <w:color w:val="231F20"/>
        </w:rPr>
        <w:t>the </w:t>
      </w:r>
      <w:r>
        <w:rPr>
          <w:color w:val="231F20"/>
          <w:spacing w:val="3"/>
        </w:rPr>
        <w:t>craniopharyngi- </w:t>
      </w:r>
      <w:r>
        <w:rPr>
          <w:color w:val="231F20"/>
          <w:spacing w:val="4"/>
        </w:rPr>
        <w:t>oma cyst and the </w:t>
      </w:r>
      <w:r>
        <w:rPr>
          <w:color w:val="231F20"/>
          <w:spacing w:val="5"/>
        </w:rPr>
        <w:t>steadiness </w:t>
      </w:r>
      <w:r>
        <w:rPr>
          <w:color w:val="231F20"/>
          <w:spacing w:val="3"/>
        </w:rPr>
        <w:t>of </w:t>
      </w:r>
      <w:r>
        <w:rPr>
          <w:color w:val="231F20"/>
          <w:spacing w:val="4"/>
        </w:rPr>
        <w:t>the fluid </w:t>
      </w:r>
      <w:r>
        <w:rPr>
          <w:color w:val="231F20"/>
          <w:spacing w:val="6"/>
        </w:rPr>
        <w:t>coming</w:t>
      </w:r>
      <w:r>
        <w:rPr>
          <w:color w:val="231F20"/>
          <w:spacing w:val="67"/>
        </w:rPr>
        <w:t> </w:t>
      </w:r>
      <w:r>
        <w:rPr>
          <w:color w:val="231F20"/>
          <w:spacing w:val="3"/>
        </w:rPr>
        <w:t>through </w:t>
      </w:r>
      <w:r>
        <w:rPr>
          <w:color w:val="231F20"/>
          <w:spacing w:val="2"/>
        </w:rPr>
        <w:t>the </w:t>
      </w:r>
      <w:r>
        <w:rPr>
          <w:color w:val="231F20"/>
          <w:spacing w:val="4"/>
        </w:rPr>
        <w:t>catheters.</w:t>
      </w:r>
    </w:p>
    <w:p>
      <w:pPr>
        <w:pStyle w:val="BodyText"/>
        <w:spacing w:line="228" w:lineRule="auto" w:before="181"/>
        <w:ind w:left="108" w:right="38" w:firstLine="311"/>
        <w:jc w:val="both"/>
      </w:pPr>
      <w:r>
        <w:rPr>
          <w:color w:val="231F20"/>
          <w:spacing w:val="6"/>
        </w:rPr>
        <w:t>Complications related </w:t>
      </w:r>
      <w:r>
        <w:rPr>
          <w:color w:val="231F20"/>
          <w:spacing w:val="3"/>
        </w:rPr>
        <w:t>to </w:t>
      </w:r>
      <w:r>
        <w:rPr>
          <w:color w:val="231F20"/>
          <w:spacing w:val="5"/>
        </w:rPr>
        <w:t>Ommaya </w:t>
      </w:r>
      <w:r>
        <w:rPr>
          <w:color w:val="231F20"/>
          <w:spacing w:val="7"/>
        </w:rPr>
        <w:t>reservoir </w:t>
      </w:r>
      <w:r>
        <w:rPr>
          <w:color w:val="231F20"/>
          <w:spacing w:val="2"/>
        </w:rPr>
        <w:t>placement such </w:t>
      </w:r>
      <w:r>
        <w:rPr>
          <w:color w:val="231F20"/>
        </w:rPr>
        <w:t>as </w:t>
      </w:r>
      <w:r>
        <w:rPr>
          <w:color w:val="231F20"/>
          <w:spacing w:val="2"/>
        </w:rPr>
        <w:t>infection </w:t>
      </w:r>
      <w:r>
        <w:rPr>
          <w:color w:val="231F20"/>
        </w:rPr>
        <w:t>or </w:t>
      </w:r>
      <w:r>
        <w:rPr>
          <w:color w:val="231F20"/>
          <w:spacing w:val="2"/>
        </w:rPr>
        <w:t>mal-positioning </w:t>
      </w:r>
      <w:r>
        <w:rPr>
          <w:color w:val="231F20"/>
          <w:spacing w:val="3"/>
        </w:rPr>
        <w:t>of </w:t>
      </w:r>
      <w:r>
        <w:rPr>
          <w:color w:val="231F20"/>
          <w:spacing w:val="6"/>
        </w:rPr>
        <w:t>the </w:t>
      </w:r>
      <w:r>
        <w:rPr>
          <w:color w:val="231F20"/>
          <w:spacing w:val="7"/>
        </w:rPr>
        <w:t>catheter </w:t>
      </w:r>
      <w:r>
        <w:rPr>
          <w:color w:val="231F20"/>
          <w:spacing w:val="6"/>
        </w:rPr>
        <w:t>are </w:t>
      </w:r>
      <w:r>
        <w:rPr>
          <w:color w:val="231F20"/>
          <w:spacing w:val="7"/>
        </w:rPr>
        <w:t>rare, </w:t>
      </w:r>
      <w:r>
        <w:rPr>
          <w:color w:val="231F20"/>
          <w:spacing w:val="6"/>
        </w:rPr>
        <w:t>but can have </w:t>
      </w:r>
      <w:r>
        <w:rPr>
          <w:color w:val="231F20"/>
          <w:spacing w:val="9"/>
        </w:rPr>
        <w:t>significant </w:t>
      </w:r>
      <w:r>
        <w:rPr>
          <w:color w:val="231F20"/>
          <w:spacing w:val="3"/>
        </w:rPr>
        <w:t>consequences </w:t>
      </w:r>
      <w:r>
        <w:rPr>
          <w:color w:val="231F20"/>
        </w:rPr>
        <w:t>in an </w:t>
      </w:r>
      <w:r>
        <w:rPr>
          <w:color w:val="231F20"/>
          <w:spacing w:val="3"/>
        </w:rPr>
        <w:t>already compromised </w:t>
      </w:r>
      <w:r>
        <w:rPr>
          <w:color w:val="231F20"/>
          <w:spacing w:val="4"/>
        </w:rPr>
        <w:t>patient </w:t>
      </w:r>
      <w:r>
        <w:rPr>
          <w:color w:val="231F20"/>
          <w:spacing w:val="3"/>
        </w:rPr>
        <w:t>population </w:t>
      </w:r>
      <w:r>
        <w:rPr>
          <w:b/>
          <w:color w:val="231F20"/>
          <w:spacing w:val="4"/>
          <w:sz w:val="18"/>
        </w:rPr>
        <w:t>[10-12]</w:t>
      </w:r>
      <w:r>
        <w:rPr>
          <w:color w:val="231F20"/>
          <w:spacing w:val="4"/>
        </w:rPr>
        <w:t>. </w:t>
      </w:r>
      <w:r>
        <w:rPr>
          <w:color w:val="231F20"/>
          <w:spacing w:val="-7"/>
        </w:rPr>
        <w:t>We </w:t>
      </w:r>
      <w:r>
        <w:rPr>
          <w:color w:val="231F20"/>
          <w:spacing w:val="2"/>
        </w:rPr>
        <w:t>had </w:t>
      </w:r>
      <w:r>
        <w:rPr>
          <w:color w:val="231F20"/>
        </w:rPr>
        <w:t>a </w:t>
      </w:r>
      <w:r>
        <w:rPr>
          <w:color w:val="231F20"/>
          <w:spacing w:val="3"/>
        </w:rPr>
        <w:t>case with </w:t>
      </w:r>
      <w:r>
        <w:rPr>
          <w:color w:val="231F20"/>
          <w:spacing w:val="4"/>
        </w:rPr>
        <w:t>misplaced </w:t>
      </w:r>
      <w:r>
        <w:rPr>
          <w:color w:val="231F20"/>
          <w:spacing w:val="3"/>
        </w:rPr>
        <w:t>catheter required second look surgery </w:t>
      </w:r>
      <w:r>
        <w:rPr>
          <w:color w:val="231F20"/>
          <w:spacing w:val="2"/>
        </w:rPr>
        <w:t>for </w:t>
      </w:r>
      <w:r>
        <w:rPr>
          <w:color w:val="231F20"/>
          <w:spacing w:val="4"/>
        </w:rPr>
        <w:t>reposi- </w:t>
      </w:r>
      <w:r>
        <w:rPr>
          <w:color w:val="231F20"/>
        </w:rPr>
        <w:t>tioning of the tube with the same technique. There </w:t>
      </w:r>
      <w:r>
        <w:rPr>
          <w:color w:val="231F20"/>
          <w:spacing w:val="5"/>
        </w:rPr>
        <w:t>was </w:t>
      </w:r>
      <w:r>
        <w:rPr>
          <w:color w:val="231F20"/>
          <w:spacing w:val="4"/>
        </w:rPr>
        <w:t>no </w:t>
      </w:r>
      <w:r>
        <w:rPr>
          <w:color w:val="231F20"/>
          <w:spacing w:val="7"/>
        </w:rPr>
        <w:t>morbidity </w:t>
      </w:r>
      <w:r>
        <w:rPr>
          <w:color w:val="231F20"/>
          <w:spacing w:val="4"/>
        </w:rPr>
        <w:t>as it </w:t>
      </w:r>
      <w:r>
        <w:rPr>
          <w:color w:val="231F20"/>
          <w:spacing w:val="6"/>
        </w:rPr>
        <w:t>didn't injure </w:t>
      </w:r>
      <w:r>
        <w:rPr>
          <w:color w:val="231F20"/>
          <w:spacing w:val="5"/>
        </w:rPr>
        <w:t>any </w:t>
      </w:r>
      <w:r>
        <w:rPr>
          <w:color w:val="231F20"/>
          <w:spacing w:val="4"/>
        </w:rPr>
        <w:t>of </w:t>
      </w:r>
      <w:r>
        <w:rPr>
          <w:color w:val="231F20"/>
          <w:spacing w:val="8"/>
        </w:rPr>
        <w:t>the </w:t>
      </w:r>
      <w:r>
        <w:rPr>
          <w:color w:val="231F20"/>
        </w:rPr>
        <w:t>important</w:t>
      </w:r>
      <w:r>
        <w:rPr>
          <w:color w:val="231F20"/>
          <w:spacing w:val="-14"/>
        </w:rPr>
        <w:t> </w:t>
      </w:r>
      <w:r>
        <w:rPr>
          <w:color w:val="231F20"/>
        </w:rPr>
        <w:t>structures</w:t>
      </w:r>
      <w:r>
        <w:rPr>
          <w:color w:val="231F20"/>
          <w:spacing w:val="-13"/>
        </w:rPr>
        <w:t> </w:t>
      </w:r>
      <w:r>
        <w:rPr>
          <w:color w:val="231F20"/>
        </w:rPr>
        <w:t>in</w:t>
      </w:r>
      <w:r>
        <w:rPr>
          <w:color w:val="231F20"/>
          <w:spacing w:val="-13"/>
        </w:rPr>
        <w:t> </w:t>
      </w:r>
      <w:r>
        <w:rPr>
          <w:color w:val="231F20"/>
        </w:rPr>
        <w:t>the</w:t>
      </w:r>
      <w:r>
        <w:rPr>
          <w:color w:val="231F20"/>
          <w:spacing w:val="-13"/>
        </w:rPr>
        <w:t> </w:t>
      </w:r>
      <w:r>
        <w:rPr>
          <w:color w:val="231F20"/>
        </w:rPr>
        <w:t>nearby</w:t>
      </w:r>
      <w:r>
        <w:rPr>
          <w:color w:val="231F20"/>
          <w:spacing w:val="-13"/>
        </w:rPr>
        <w:t> </w:t>
      </w:r>
      <w:r>
        <w:rPr>
          <w:color w:val="231F20"/>
        </w:rPr>
        <w:t>area</w:t>
      </w:r>
      <w:r>
        <w:rPr>
          <w:color w:val="231F20"/>
          <w:spacing w:val="-13"/>
        </w:rPr>
        <w:t> </w:t>
      </w:r>
      <w:r>
        <w:rPr>
          <w:color w:val="231F20"/>
        </w:rPr>
        <w:t>with</w:t>
      </w:r>
      <w:r>
        <w:rPr>
          <w:color w:val="231F20"/>
          <w:spacing w:val="-14"/>
        </w:rPr>
        <w:t> </w:t>
      </w:r>
      <w:r>
        <w:rPr>
          <w:color w:val="231F20"/>
        </w:rPr>
        <w:t>minimal flow as the tube was touching the cystic component </w:t>
      </w:r>
      <w:r>
        <w:rPr>
          <w:color w:val="231F20"/>
          <w:spacing w:val="2"/>
        </w:rPr>
        <w:t>and </w:t>
      </w:r>
      <w:r>
        <w:rPr>
          <w:color w:val="231F20"/>
          <w:spacing w:val="3"/>
        </w:rPr>
        <w:t>drained some </w:t>
      </w:r>
      <w:r>
        <w:rPr>
          <w:color w:val="231F20"/>
        </w:rPr>
        <w:t>of </w:t>
      </w:r>
      <w:r>
        <w:rPr>
          <w:color w:val="231F20"/>
          <w:spacing w:val="2"/>
        </w:rPr>
        <w:t>the </w:t>
      </w:r>
      <w:r>
        <w:rPr>
          <w:color w:val="231F20"/>
          <w:spacing w:val="3"/>
        </w:rPr>
        <w:t>retained</w:t>
      </w:r>
      <w:r>
        <w:rPr>
          <w:color w:val="231F20"/>
          <w:spacing w:val="42"/>
        </w:rPr>
        <w:t> </w:t>
      </w:r>
      <w:r>
        <w:rPr>
          <w:color w:val="231F20"/>
          <w:spacing w:val="4"/>
        </w:rPr>
        <w:t>fluid.</w:t>
      </w:r>
    </w:p>
    <w:p>
      <w:pPr>
        <w:pStyle w:val="BodyText"/>
        <w:spacing w:line="228" w:lineRule="auto" w:before="189"/>
        <w:ind w:left="108" w:right="41" w:firstLine="311"/>
        <w:jc w:val="both"/>
      </w:pPr>
      <w:r>
        <w:rPr>
          <w:color w:val="231F20"/>
        </w:rPr>
        <w:t>Patients were referred to Gamma Knife after ensuring adequate cyst drainage.</w:t>
      </w:r>
    </w:p>
    <w:p>
      <w:pPr>
        <w:pStyle w:val="BodyText"/>
        <w:spacing w:line="228" w:lineRule="auto" w:before="177"/>
        <w:ind w:left="108" w:right="40" w:firstLine="311"/>
        <w:jc w:val="both"/>
      </w:pPr>
      <w:r>
        <w:rPr>
          <w:color w:val="231F20"/>
        </w:rPr>
        <w:t>We found that this technique is valuable as it enables the surgeon to directly visualize the termi- nation point of the catheter to the desired location at the end of the procedure, allowing for small adjustments prior to departing from the operating room and obtaining the post-operative CT scan.</w:t>
      </w:r>
    </w:p>
    <w:p>
      <w:pPr>
        <w:spacing w:before="172"/>
        <w:ind w:left="108" w:right="0" w:firstLine="0"/>
        <w:jc w:val="left"/>
        <w:rPr>
          <w:i/>
          <w:sz w:val="22"/>
        </w:rPr>
      </w:pPr>
      <w:r>
        <w:rPr>
          <w:i/>
          <w:color w:val="231F20"/>
          <w:sz w:val="22"/>
        </w:rPr>
        <w:t>Conclusion:</w:t>
      </w:r>
    </w:p>
    <w:p>
      <w:pPr>
        <w:pStyle w:val="BodyText"/>
        <w:spacing w:line="228" w:lineRule="auto" w:before="58"/>
        <w:ind w:left="108" w:right="66" w:firstLine="311"/>
      </w:pPr>
      <w:r>
        <w:rPr>
          <w:color w:val="231F20"/>
        </w:rPr>
        <w:t>We can conclude that this technique can be used safely and effectively for placement of the</w:t>
      </w:r>
    </w:p>
    <w:p>
      <w:pPr>
        <w:pStyle w:val="BodyText"/>
        <w:spacing w:line="228" w:lineRule="auto" w:before="101"/>
        <w:ind w:left="108" w:right="118"/>
        <w:jc w:val="both"/>
      </w:pPr>
      <w:r>
        <w:rPr/>
        <w:br w:type="column"/>
      </w:r>
      <w:r>
        <w:rPr>
          <w:color w:val="231F20"/>
        </w:rPr>
        <w:t>catheter tip of the Ommaya reservoir in acceptable location and do not require rigid fixation of the head.</w:t>
      </w:r>
    </w:p>
    <w:p>
      <w:pPr>
        <w:pStyle w:val="Heading1"/>
        <w:spacing w:before="160"/>
        <w:ind w:left="1846" w:right="1858"/>
      </w:pPr>
      <w:r>
        <w:rPr>
          <w:color w:val="231F20"/>
        </w:rPr>
        <w:t>References</w:t>
      </w:r>
    </w:p>
    <w:p>
      <w:pPr>
        <w:pStyle w:val="ListParagraph"/>
        <w:numPr>
          <w:ilvl w:val="0"/>
          <w:numId w:val="2"/>
        </w:numPr>
        <w:tabs>
          <w:tab w:pos="403" w:val="left" w:leader="none"/>
        </w:tabs>
        <w:spacing w:line="204" w:lineRule="exact" w:before="155" w:after="0"/>
        <w:ind w:left="402" w:right="0" w:hanging="295"/>
        <w:jc w:val="both"/>
        <w:rPr>
          <w:sz w:val="18"/>
        </w:rPr>
      </w:pPr>
      <w:r>
        <w:rPr>
          <w:color w:val="231F20"/>
          <w:sz w:val="18"/>
        </w:rPr>
        <w:t>RUTKA </w:t>
      </w:r>
      <w:r>
        <w:rPr>
          <w:color w:val="231F20"/>
          <w:spacing w:val="-3"/>
          <w:sz w:val="18"/>
        </w:rPr>
        <w:t>J.T.: </w:t>
      </w:r>
      <w:r>
        <w:rPr>
          <w:color w:val="231F20"/>
          <w:sz w:val="18"/>
        </w:rPr>
        <w:t>Endonasal resection of</w:t>
      </w:r>
      <w:r>
        <w:rPr>
          <w:color w:val="231F20"/>
          <w:spacing w:val="-17"/>
          <w:sz w:val="18"/>
        </w:rPr>
        <w:t> </w:t>
      </w:r>
      <w:r>
        <w:rPr>
          <w:color w:val="231F20"/>
          <w:sz w:val="18"/>
        </w:rPr>
        <w:t>Craniopharyngiomas.</w:t>
      </w:r>
    </w:p>
    <w:p>
      <w:pPr>
        <w:spacing w:line="204" w:lineRule="exact" w:before="0"/>
        <w:ind w:left="419" w:right="0" w:firstLine="0"/>
        <w:jc w:val="both"/>
        <w:rPr>
          <w:sz w:val="18"/>
        </w:rPr>
      </w:pPr>
      <w:r>
        <w:rPr>
          <w:color w:val="231F20"/>
          <w:sz w:val="18"/>
        </w:rPr>
        <w:t>J. Neurosurg., 109: 1-5, 2008.</w:t>
      </w:r>
    </w:p>
    <w:p>
      <w:pPr>
        <w:pStyle w:val="ListParagraph"/>
        <w:numPr>
          <w:ilvl w:val="0"/>
          <w:numId w:val="2"/>
        </w:numPr>
        <w:tabs>
          <w:tab w:pos="410" w:val="left" w:leader="none"/>
        </w:tabs>
        <w:spacing w:line="232" w:lineRule="auto" w:before="112" w:after="0"/>
        <w:ind w:left="419" w:right="121" w:hanging="312"/>
        <w:jc w:val="both"/>
        <w:rPr>
          <w:sz w:val="18"/>
        </w:rPr>
      </w:pPr>
      <w:r>
        <w:rPr>
          <w:color w:val="231F20"/>
          <w:spacing w:val="2"/>
          <w:sz w:val="18"/>
        </w:rPr>
        <w:t>STEINBOK </w:t>
      </w:r>
      <w:r>
        <w:rPr>
          <w:color w:val="231F20"/>
          <w:spacing w:val="-9"/>
          <w:sz w:val="18"/>
        </w:rPr>
        <w:t>P. </w:t>
      </w:r>
      <w:r>
        <w:rPr>
          <w:color w:val="231F20"/>
          <w:sz w:val="18"/>
        </w:rPr>
        <w:t>and </w:t>
      </w:r>
      <w:r>
        <w:rPr>
          <w:color w:val="231F20"/>
          <w:spacing w:val="2"/>
          <w:sz w:val="18"/>
        </w:rPr>
        <w:t>HUKIN </w:t>
      </w:r>
      <w:r>
        <w:rPr>
          <w:color w:val="231F20"/>
          <w:sz w:val="18"/>
        </w:rPr>
        <w:t>J.: </w:t>
      </w:r>
      <w:r>
        <w:rPr>
          <w:color w:val="231F20"/>
          <w:spacing w:val="2"/>
          <w:sz w:val="18"/>
        </w:rPr>
        <w:t>Intracystic treatments </w:t>
      </w:r>
      <w:r>
        <w:rPr>
          <w:color w:val="231F20"/>
          <w:spacing w:val="3"/>
          <w:sz w:val="18"/>
        </w:rPr>
        <w:t>for </w:t>
      </w:r>
      <w:r>
        <w:rPr>
          <w:color w:val="231F20"/>
          <w:sz w:val="18"/>
        </w:rPr>
        <w:t>craniopharyngioma. Neurosurg. Focus., 28 (4): E13,</w:t>
      </w:r>
      <w:r>
        <w:rPr>
          <w:color w:val="231F20"/>
          <w:spacing w:val="-21"/>
          <w:sz w:val="18"/>
        </w:rPr>
        <w:t> </w:t>
      </w:r>
      <w:r>
        <w:rPr>
          <w:color w:val="231F20"/>
          <w:sz w:val="18"/>
        </w:rPr>
        <w:t>2010.</w:t>
      </w:r>
    </w:p>
    <w:p>
      <w:pPr>
        <w:pStyle w:val="ListParagraph"/>
        <w:numPr>
          <w:ilvl w:val="0"/>
          <w:numId w:val="2"/>
        </w:numPr>
        <w:tabs>
          <w:tab w:pos="418" w:val="left" w:leader="none"/>
        </w:tabs>
        <w:spacing w:line="204" w:lineRule="exact" w:before="107" w:after="0"/>
        <w:ind w:left="417" w:right="0" w:hanging="310"/>
        <w:jc w:val="both"/>
        <w:rPr>
          <w:sz w:val="18"/>
        </w:rPr>
      </w:pPr>
      <w:r>
        <w:rPr>
          <w:color w:val="231F20"/>
          <w:spacing w:val="6"/>
          <w:sz w:val="18"/>
        </w:rPr>
        <w:t>GOTTFRIED </w:t>
      </w:r>
      <w:r>
        <w:rPr>
          <w:color w:val="231F20"/>
          <w:spacing w:val="5"/>
          <w:sz w:val="18"/>
        </w:rPr>
        <w:t>O.N., </w:t>
      </w:r>
      <w:r>
        <w:rPr>
          <w:color w:val="231F20"/>
          <w:spacing w:val="6"/>
          <w:sz w:val="18"/>
        </w:rPr>
        <w:t>COULDWELL </w:t>
      </w:r>
      <w:r>
        <w:rPr>
          <w:color w:val="231F20"/>
          <w:spacing w:val="-3"/>
          <w:sz w:val="18"/>
        </w:rPr>
        <w:t>W.T. </w:t>
      </w:r>
      <w:r>
        <w:rPr>
          <w:color w:val="231F20"/>
          <w:spacing w:val="4"/>
          <w:sz w:val="18"/>
        </w:rPr>
        <w:t>and</w:t>
      </w:r>
      <w:r>
        <w:rPr>
          <w:color w:val="231F20"/>
          <w:spacing w:val="-4"/>
          <w:sz w:val="18"/>
        </w:rPr>
        <w:t> </w:t>
      </w:r>
      <w:r>
        <w:rPr>
          <w:color w:val="231F20"/>
          <w:spacing w:val="4"/>
          <w:sz w:val="18"/>
        </w:rPr>
        <w:t>WEISS</w:t>
      </w:r>
    </w:p>
    <w:p>
      <w:pPr>
        <w:spacing w:line="232" w:lineRule="auto" w:before="2"/>
        <w:ind w:left="419" w:right="119" w:firstLine="0"/>
        <w:jc w:val="both"/>
        <w:rPr>
          <w:sz w:val="18"/>
        </w:rPr>
      </w:pPr>
      <w:r>
        <w:rPr>
          <w:color w:val="231F20"/>
          <w:sz w:val="18"/>
        </w:rPr>
        <w:t>M.H.: Tumors of the Sellar Region: Craniopharyngioma and Pituitary Adenoma. In: Baehring JM, Piepmeier JM (eds): Brain Tumors Practical Guide to Diagnosis and Treatment. New York, Informa Healthcare, 20: 353-75, 2007.</w:t>
      </w:r>
    </w:p>
    <w:p>
      <w:pPr>
        <w:pStyle w:val="ListParagraph"/>
        <w:numPr>
          <w:ilvl w:val="0"/>
          <w:numId w:val="2"/>
        </w:numPr>
        <w:tabs>
          <w:tab w:pos="411" w:val="left" w:leader="none"/>
        </w:tabs>
        <w:spacing w:line="232" w:lineRule="auto" w:before="110" w:after="0"/>
        <w:ind w:left="419" w:right="121" w:hanging="312"/>
        <w:jc w:val="both"/>
        <w:rPr>
          <w:sz w:val="18"/>
        </w:rPr>
      </w:pPr>
      <w:r>
        <w:rPr>
          <w:color w:val="231F20"/>
          <w:spacing w:val="3"/>
          <w:sz w:val="18"/>
        </w:rPr>
        <w:t>OMMAYA A.K.: Subcutaneous reservoir </w:t>
      </w:r>
      <w:r>
        <w:rPr>
          <w:color w:val="231F20"/>
          <w:spacing w:val="2"/>
          <w:sz w:val="18"/>
        </w:rPr>
        <w:t>and </w:t>
      </w:r>
      <w:r>
        <w:rPr>
          <w:color w:val="231F20"/>
          <w:spacing w:val="3"/>
          <w:sz w:val="18"/>
        </w:rPr>
        <w:t>pump </w:t>
      </w:r>
      <w:r>
        <w:rPr>
          <w:color w:val="231F20"/>
          <w:spacing w:val="4"/>
          <w:sz w:val="18"/>
        </w:rPr>
        <w:t>for </w:t>
      </w:r>
      <w:r>
        <w:rPr>
          <w:color w:val="231F20"/>
          <w:spacing w:val="3"/>
          <w:sz w:val="18"/>
        </w:rPr>
        <w:t>sterile access </w:t>
      </w:r>
      <w:r>
        <w:rPr>
          <w:color w:val="231F20"/>
          <w:sz w:val="18"/>
        </w:rPr>
        <w:t>to </w:t>
      </w:r>
      <w:r>
        <w:rPr>
          <w:color w:val="231F20"/>
          <w:spacing w:val="3"/>
          <w:sz w:val="18"/>
        </w:rPr>
        <w:t>ventricular cerebrospinal fluid. </w:t>
      </w:r>
      <w:r>
        <w:rPr>
          <w:color w:val="231F20"/>
          <w:sz w:val="18"/>
        </w:rPr>
        <w:t>Lancet, 2 </w:t>
      </w:r>
      <w:r>
        <w:rPr>
          <w:color w:val="231F20"/>
          <w:spacing w:val="2"/>
          <w:sz w:val="18"/>
        </w:rPr>
        <w:t>(7315): 983-4,</w:t>
      </w:r>
      <w:r>
        <w:rPr>
          <w:color w:val="231F20"/>
          <w:spacing w:val="19"/>
          <w:sz w:val="18"/>
        </w:rPr>
        <w:t> </w:t>
      </w:r>
      <w:r>
        <w:rPr>
          <w:color w:val="231F20"/>
          <w:spacing w:val="3"/>
          <w:sz w:val="18"/>
        </w:rPr>
        <w:t>1963.</w:t>
      </w:r>
    </w:p>
    <w:p>
      <w:pPr>
        <w:pStyle w:val="ListParagraph"/>
        <w:numPr>
          <w:ilvl w:val="0"/>
          <w:numId w:val="2"/>
        </w:numPr>
        <w:tabs>
          <w:tab w:pos="407" w:val="left" w:leader="none"/>
        </w:tabs>
        <w:spacing w:line="204" w:lineRule="exact" w:before="107" w:after="0"/>
        <w:ind w:left="406" w:right="0" w:hanging="299"/>
        <w:jc w:val="both"/>
        <w:rPr>
          <w:sz w:val="18"/>
        </w:rPr>
      </w:pPr>
      <w:r>
        <w:rPr>
          <w:color w:val="231F20"/>
          <w:sz w:val="18"/>
        </w:rPr>
        <w:t>SPAZIANTE</w:t>
      </w:r>
      <w:r>
        <w:rPr>
          <w:color w:val="231F20"/>
          <w:spacing w:val="7"/>
          <w:sz w:val="18"/>
        </w:rPr>
        <w:t> </w:t>
      </w:r>
      <w:r>
        <w:rPr>
          <w:color w:val="231F20"/>
          <w:sz w:val="18"/>
        </w:rPr>
        <w:t>R.,</w:t>
      </w:r>
      <w:r>
        <w:rPr>
          <w:color w:val="231F20"/>
          <w:spacing w:val="8"/>
          <w:sz w:val="18"/>
        </w:rPr>
        <w:t> </w:t>
      </w:r>
      <w:r>
        <w:rPr>
          <w:color w:val="231F20"/>
          <w:sz w:val="18"/>
        </w:rPr>
        <w:t>IRACE</w:t>
      </w:r>
      <w:r>
        <w:rPr>
          <w:color w:val="231F20"/>
          <w:spacing w:val="8"/>
          <w:sz w:val="18"/>
        </w:rPr>
        <w:t> </w:t>
      </w:r>
      <w:r>
        <w:rPr>
          <w:color w:val="231F20"/>
          <w:sz w:val="18"/>
        </w:rPr>
        <w:t>C.</w:t>
      </w:r>
      <w:r>
        <w:rPr>
          <w:color w:val="231F20"/>
          <w:spacing w:val="8"/>
          <w:sz w:val="18"/>
        </w:rPr>
        <w:t> </w:t>
      </w:r>
      <w:r>
        <w:rPr>
          <w:color w:val="231F20"/>
          <w:sz w:val="18"/>
        </w:rPr>
        <w:t>and</w:t>
      </w:r>
      <w:r>
        <w:rPr>
          <w:color w:val="231F20"/>
          <w:spacing w:val="8"/>
          <w:sz w:val="18"/>
        </w:rPr>
        <w:t> </w:t>
      </w:r>
      <w:r>
        <w:rPr>
          <w:color w:val="231F20"/>
          <w:sz w:val="18"/>
        </w:rPr>
        <w:t>De</w:t>
      </w:r>
      <w:r>
        <w:rPr>
          <w:color w:val="231F20"/>
          <w:spacing w:val="8"/>
          <w:sz w:val="18"/>
        </w:rPr>
        <w:t> </w:t>
      </w:r>
      <w:r>
        <w:rPr>
          <w:color w:val="231F20"/>
          <w:sz w:val="18"/>
        </w:rPr>
        <w:t>DIVITIIS</w:t>
      </w:r>
      <w:r>
        <w:rPr>
          <w:color w:val="231F20"/>
          <w:spacing w:val="8"/>
          <w:sz w:val="18"/>
        </w:rPr>
        <w:t> </w:t>
      </w:r>
      <w:r>
        <w:rPr>
          <w:color w:val="231F20"/>
          <w:sz w:val="18"/>
        </w:rPr>
        <w:t>E.:</w:t>
      </w:r>
      <w:r>
        <w:rPr>
          <w:color w:val="231F20"/>
          <w:spacing w:val="8"/>
          <w:sz w:val="18"/>
        </w:rPr>
        <w:t> </w:t>
      </w:r>
      <w:r>
        <w:rPr>
          <w:color w:val="231F20"/>
          <w:spacing w:val="2"/>
          <w:sz w:val="18"/>
        </w:rPr>
        <w:t>Brach-</w:t>
      </w:r>
    </w:p>
    <w:p>
      <w:pPr>
        <w:spacing w:line="232" w:lineRule="auto" w:before="2"/>
        <w:ind w:left="419" w:right="120" w:firstLine="0"/>
        <w:jc w:val="both"/>
        <w:rPr>
          <w:sz w:val="18"/>
        </w:rPr>
      </w:pPr>
      <w:r>
        <w:rPr>
          <w:color w:val="231F20"/>
          <w:sz w:val="18"/>
        </w:rPr>
        <w:t>ytherapy of cystic craniopharyngiomas. J. Neurosurg., 79: 966-7, 1993.</w:t>
      </w:r>
    </w:p>
    <w:p>
      <w:pPr>
        <w:pStyle w:val="ListParagraph"/>
        <w:numPr>
          <w:ilvl w:val="0"/>
          <w:numId w:val="2"/>
        </w:numPr>
        <w:tabs>
          <w:tab w:pos="406" w:val="left" w:leader="none"/>
        </w:tabs>
        <w:spacing w:line="204" w:lineRule="exact" w:before="107" w:after="0"/>
        <w:ind w:left="405" w:right="0" w:hanging="298"/>
        <w:jc w:val="both"/>
        <w:rPr>
          <w:sz w:val="18"/>
        </w:rPr>
      </w:pPr>
      <w:r>
        <w:rPr>
          <w:color w:val="231F20"/>
          <w:sz w:val="18"/>
        </w:rPr>
        <w:t>WEINER G.M., CHIVUKULA S., CHEN C.J., DING</w:t>
      </w:r>
      <w:r>
        <w:rPr>
          <w:color w:val="231F20"/>
          <w:spacing w:val="19"/>
          <w:sz w:val="18"/>
        </w:rPr>
        <w:t> </w:t>
      </w:r>
      <w:r>
        <w:rPr>
          <w:color w:val="231F20"/>
          <w:sz w:val="18"/>
        </w:rPr>
        <w:t>D.,</w:t>
      </w:r>
    </w:p>
    <w:p>
      <w:pPr>
        <w:spacing w:line="232" w:lineRule="auto" w:before="2"/>
        <w:ind w:left="419" w:right="119" w:firstLine="0"/>
        <w:jc w:val="both"/>
        <w:rPr>
          <w:sz w:val="18"/>
        </w:rPr>
      </w:pPr>
      <w:r>
        <w:rPr>
          <w:color w:val="231F20"/>
          <w:sz w:val="18"/>
        </w:rPr>
        <w:t>ENGH J.A. and AMANKULOR N.: Ommaya reservoir with ventricular catheter placement for chemotherapy with frameless and pinless electromagnetic surgical neu- ronavigation. Clinical Neurology and Neurosurgery, 130: 61-6, 2015.</w:t>
      </w:r>
    </w:p>
    <w:p>
      <w:pPr>
        <w:pStyle w:val="ListParagraph"/>
        <w:numPr>
          <w:ilvl w:val="0"/>
          <w:numId w:val="2"/>
        </w:numPr>
        <w:tabs>
          <w:tab w:pos="407" w:val="left" w:leader="none"/>
        </w:tabs>
        <w:spacing w:line="204" w:lineRule="exact" w:before="106" w:after="0"/>
        <w:ind w:left="406" w:right="0" w:hanging="299"/>
        <w:jc w:val="both"/>
        <w:rPr>
          <w:sz w:val="18"/>
        </w:rPr>
      </w:pPr>
      <w:r>
        <w:rPr>
          <w:color w:val="231F20"/>
          <w:sz w:val="18"/>
        </w:rPr>
        <w:t>McDERMOTT </w:t>
      </w:r>
      <w:r>
        <w:rPr>
          <w:color w:val="231F20"/>
          <w:spacing w:val="-3"/>
          <w:sz w:val="18"/>
        </w:rPr>
        <w:t>M.W., </w:t>
      </w:r>
      <w:r>
        <w:rPr>
          <w:color w:val="231F20"/>
          <w:sz w:val="18"/>
        </w:rPr>
        <w:t>CIRICILLO S.F., GUTIN </w:t>
      </w:r>
      <w:r>
        <w:rPr>
          <w:color w:val="231F20"/>
          <w:spacing w:val="-5"/>
          <w:sz w:val="18"/>
        </w:rPr>
        <w:t>P.H.</w:t>
      </w:r>
      <w:r>
        <w:rPr>
          <w:color w:val="231F20"/>
          <w:spacing w:val="27"/>
          <w:sz w:val="18"/>
        </w:rPr>
        <w:t> </w:t>
      </w:r>
      <w:r>
        <w:rPr>
          <w:color w:val="231F20"/>
          <w:sz w:val="18"/>
        </w:rPr>
        <w:t>and</w:t>
      </w:r>
    </w:p>
    <w:p>
      <w:pPr>
        <w:spacing w:line="232" w:lineRule="auto" w:before="1"/>
        <w:ind w:left="419" w:right="119" w:firstLine="0"/>
        <w:jc w:val="both"/>
        <w:rPr>
          <w:sz w:val="18"/>
        </w:rPr>
      </w:pPr>
      <w:r>
        <w:rPr>
          <w:color w:val="231F20"/>
          <w:sz w:val="18"/>
        </w:rPr>
        <w:t>EDWARDS M.S.: Stereotactic insertion of an ommaya reservoir: Technical note. Can J. Neurol. Sci., 22 (3): 235-8, 1995.</w:t>
      </w:r>
    </w:p>
    <w:p>
      <w:pPr>
        <w:pStyle w:val="ListParagraph"/>
        <w:numPr>
          <w:ilvl w:val="0"/>
          <w:numId w:val="2"/>
        </w:numPr>
        <w:tabs>
          <w:tab w:pos="412" w:val="left" w:leader="none"/>
        </w:tabs>
        <w:spacing w:line="204" w:lineRule="exact" w:before="107" w:after="0"/>
        <w:ind w:left="411" w:right="0" w:hanging="304"/>
        <w:jc w:val="both"/>
        <w:rPr>
          <w:sz w:val="18"/>
        </w:rPr>
      </w:pPr>
      <w:r>
        <w:rPr>
          <w:color w:val="231F20"/>
          <w:spacing w:val="3"/>
          <w:sz w:val="18"/>
        </w:rPr>
        <w:t>WILSON </w:t>
      </w:r>
      <w:r>
        <w:rPr>
          <w:color w:val="231F20"/>
          <w:sz w:val="18"/>
        </w:rPr>
        <w:t>T.J., </w:t>
      </w:r>
      <w:r>
        <w:rPr>
          <w:color w:val="231F20"/>
          <w:spacing w:val="3"/>
          <w:sz w:val="18"/>
        </w:rPr>
        <w:t>STETLER </w:t>
      </w:r>
      <w:r>
        <w:rPr>
          <w:color w:val="231F20"/>
          <w:sz w:val="18"/>
        </w:rPr>
        <w:t>W.R., </w:t>
      </w:r>
      <w:r>
        <w:rPr>
          <w:color w:val="231F20"/>
          <w:spacing w:val="3"/>
          <w:sz w:val="18"/>
        </w:rPr>
        <w:t>AL-HOLOU </w:t>
      </w:r>
      <w:r>
        <w:rPr>
          <w:color w:val="231F20"/>
          <w:sz w:val="18"/>
        </w:rPr>
        <w:t>W.N.</w:t>
      </w:r>
      <w:r>
        <w:rPr>
          <w:color w:val="231F20"/>
          <w:spacing w:val="16"/>
          <w:sz w:val="18"/>
        </w:rPr>
        <w:t> </w:t>
      </w:r>
      <w:r>
        <w:rPr>
          <w:color w:val="231F20"/>
          <w:spacing w:val="4"/>
          <w:sz w:val="18"/>
        </w:rPr>
        <w:t>and</w:t>
      </w:r>
    </w:p>
    <w:p>
      <w:pPr>
        <w:spacing w:line="232" w:lineRule="auto" w:before="2"/>
        <w:ind w:left="419" w:right="119" w:firstLine="0"/>
        <w:jc w:val="both"/>
        <w:rPr>
          <w:sz w:val="18"/>
        </w:rPr>
      </w:pPr>
      <w:r>
        <w:rPr>
          <w:color w:val="231F20"/>
          <w:sz w:val="18"/>
        </w:rPr>
        <w:t>SULLIVAN S.E.: Comparison of the accuracy of ven- tricular catheter placement using freehand placement, ultrasonic guidance, and stereotactic neuronavigation. Journal of Neurosurgery, 119 (1): 66-70, 2013.</w:t>
      </w:r>
    </w:p>
    <w:p>
      <w:pPr>
        <w:pStyle w:val="ListParagraph"/>
        <w:numPr>
          <w:ilvl w:val="0"/>
          <w:numId w:val="2"/>
        </w:numPr>
        <w:tabs>
          <w:tab w:pos="403" w:val="left" w:leader="none"/>
        </w:tabs>
        <w:spacing w:line="204" w:lineRule="exact" w:before="106" w:after="0"/>
        <w:ind w:left="402" w:right="0" w:hanging="295"/>
        <w:jc w:val="both"/>
        <w:rPr>
          <w:sz w:val="18"/>
        </w:rPr>
      </w:pPr>
      <w:r>
        <w:rPr>
          <w:color w:val="231F20"/>
          <w:sz w:val="18"/>
        </w:rPr>
        <w:t>LEVITT M.R., O'NEILL B.R., ISHAK G.E., et al.:</w:t>
      </w:r>
      <w:r>
        <w:rPr>
          <w:color w:val="231F20"/>
          <w:spacing w:val="-24"/>
          <w:sz w:val="18"/>
        </w:rPr>
        <w:t> </w:t>
      </w:r>
      <w:r>
        <w:rPr>
          <w:color w:val="231F20"/>
          <w:sz w:val="18"/>
        </w:rPr>
        <w:t>Image-</w:t>
      </w:r>
    </w:p>
    <w:p>
      <w:pPr>
        <w:spacing w:line="232" w:lineRule="auto" w:before="2"/>
        <w:ind w:left="419" w:right="120" w:firstLine="0"/>
        <w:jc w:val="both"/>
        <w:rPr>
          <w:sz w:val="18"/>
        </w:rPr>
      </w:pPr>
      <w:r>
        <w:rPr>
          <w:color w:val="231F20"/>
          <w:sz w:val="18"/>
        </w:rPr>
        <w:t>guided cerebrospinal fluid shunting in children: Catheter accuracy and shunt survival. J. Neurosurg. Pediatr., 10 (2): 112-7, 2012.</w:t>
      </w:r>
    </w:p>
    <w:p>
      <w:pPr>
        <w:pStyle w:val="ListParagraph"/>
        <w:numPr>
          <w:ilvl w:val="0"/>
          <w:numId w:val="2"/>
        </w:numPr>
        <w:tabs>
          <w:tab w:pos="392" w:val="left" w:leader="none"/>
        </w:tabs>
        <w:spacing w:line="204" w:lineRule="exact" w:before="106" w:after="0"/>
        <w:ind w:left="391" w:right="0" w:hanging="284"/>
        <w:jc w:val="both"/>
        <w:rPr>
          <w:sz w:val="18"/>
        </w:rPr>
      </w:pPr>
      <w:r>
        <w:rPr>
          <w:color w:val="231F20"/>
          <w:sz w:val="18"/>
        </w:rPr>
        <w:t>SANDBERG D.I., BILSKY M.H., SOUWEIDANE</w:t>
      </w:r>
      <w:r>
        <w:rPr>
          <w:color w:val="231F20"/>
          <w:spacing w:val="-17"/>
          <w:sz w:val="18"/>
        </w:rPr>
        <w:t> </w:t>
      </w:r>
      <w:r>
        <w:rPr>
          <w:color w:val="231F20"/>
          <w:sz w:val="18"/>
        </w:rPr>
        <w:t>M.M.,</w:t>
      </w:r>
    </w:p>
    <w:p>
      <w:pPr>
        <w:spacing w:line="232" w:lineRule="auto" w:before="2"/>
        <w:ind w:left="419" w:right="121" w:firstLine="0"/>
        <w:jc w:val="both"/>
        <w:rPr>
          <w:sz w:val="18"/>
        </w:rPr>
      </w:pPr>
      <w:r>
        <w:rPr>
          <w:color w:val="231F20"/>
          <w:sz w:val="18"/>
        </w:rPr>
        <w:t>BZDIL J. and GUTIN P.H.: Ommaya Reservoirs for the Treatment of Leptomeningeal Metastases. Neurosurgery, 47 (1): 49-55, 2000.</w:t>
      </w:r>
    </w:p>
    <w:p>
      <w:pPr>
        <w:pStyle w:val="ListParagraph"/>
        <w:numPr>
          <w:ilvl w:val="0"/>
          <w:numId w:val="2"/>
        </w:numPr>
        <w:tabs>
          <w:tab w:pos="422" w:val="left" w:leader="none"/>
        </w:tabs>
        <w:spacing w:line="204" w:lineRule="exact" w:before="107" w:after="0"/>
        <w:ind w:left="421" w:right="0" w:hanging="314"/>
        <w:jc w:val="both"/>
        <w:rPr>
          <w:sz w:val="18"/>
        </w:rPr>
      </w:pPr>
      <w:r>
        <w:rPr>
          <w:color w:val="231F20"/>
          <w:spacing w:val="5"/>
          <w:sz w:val="18"/>
        </w:rPr>
        <w:t>PERRIN</w:t>
      </w:r>
      <w:r>
        <w:rPr>
          <w:color w:val="231F20"/>
          <w:spacing w:val="22"/>
          <w:sz w:val="18"/>
        </w:rPr>
        <w:t> </w:t>
      </w:r>
      <w:r>
        <w:rPr>
          <w:color w:val="231F20"/>
          <w:spacing w:val="4"/>
          <w:sz w:val="18"/>
        </w:rPr>
        <w:t>R.G.,</w:t>
      </w:r>
      <w:r>
        <w:rPr>
          <w:color w:val="231F20"/>
          <w:spacing w:val="23"/>
          <w:sz w:val="18"/>
        </w:rPr>
        <w:t> </w:t>
      </w:r>
      <w:r>
        <w:rPr>
          <w:color w:val="231F20"/>
          <w:spacing w:val="5"/>
          <w:sz w:val="18"/>
        </w:rPr>
        <w:t>LISHNER</w:t>
      </w:r>
      <w:r>
        <w:rPr>
          <w:color w:val="231F20"/>
          <w:spacing w:val="23"/>
          <w:sz w:val="18"/>
        </w:rPr>
        <w:t> </w:t>
      </w:r>
      <w:r>
        <w:rPr>
          <w:color w:val="231F20"/>
          <w:spacing w:val="4"/>
          <w:sz w:val="18"/>
        </w:rPr>
        <w:t>M.,</w:t>
      </w:r>
      <w:r>
        <w:rPr>
          <w:color w:val="231F20"/>
          <w:spacing w:val="23"/>
          <w:sz w:val="18"/>
        </w:rPr>
        <w:t> </w:t>
      </w:r>
      <w:r>
        <w:rPr>
          <w:color w:val="231F20"/>
          <w:spacing w:val="4"/>
          <w:sz w:val="18"/>
        </w:rPr>
        <w:t>GUHA</w:t>
      </w:r>
      <w:r>
        <w:rPr>
          <w:color w:val="231F20"/>
          <w:spacing w:val="13"/>
          <w:sz w:val="18"/>
        </w:rPr>
        <w:t> </w:t>
      </w:r>
      <w:r>
        <w:rPr>
          <w:color w:val="231F20"/>
          <w:spacing w:val="4"/>
          <w:sz w:val="18"/>
        </w:rPr>
        <w:t>A.,</w:t>
      </w:r>
      <w:r>
        <w:rPr>
          <w:color w:val="231F20"/>
          <w:spacing w:val="23"/>
          <w:sz w:val="18"/>
        </w:rPr>
        <w:t> </w:t>
      </w:r>
      <w:r>
        <w:rPr>
          <w:color w:val="231F20"/>
          <w:spacing w:val="5"/>
          <w:sz w:val="18"/>
        </w:rPr>
        <w:t>CURTIS</w:t>
      </w:r>
      <w:r>
        <w:rPr>
          <w:color w:val="231F20"/>
          <w:spacing w:val="23"/>
          <w:sz w:val="18"/>
        </w:rPr>
        <w:t> </w:t>
      </w:r>
      <w:r>
        <w:rPr>
          <w:color w:val="231F20"/>
          <w:spacing w:val="6"/>
          <w:sz w:val="18"/>
        </w:rPr>
        <w:t>J.,</w:t>
      </w:r>
    </w:p>
    <w:p>
      <w:pPr>
        <w:spacing w:line="232" w:lineRule="auto" w:before="1"/>
        <w:ind w:left="419" w:right="118" w:firstLine="0"/>
        <w:jc w:val="both"/>
        <w:rPr>
          <w:sz w:val="18"/>
        </w:rPr>
      </w:pPr>
      <w:r>
        <w:rPr>
          <w:color w:val="231F20"/>
          <w:sz w:val="18"/>
        </w:rPr>
        <w:t>FELD R. and MESSNER H.: Experience with Ommaya reservoir in 120 consecutive patients with meningeal malignancy. Can. J. Neurol. Sci., 17 (2): 190-2, 1990.</w:t>
      </w:r>
    </w:p>
    <w:p>
      <w:pPr>
        <w:pStyle w:val="ListParagraph"/>
        <w:numPr>
          <w:ilvl w:val="0"/>
          <w:numId w:val="2"/>
        </w:numPr>
        <w:tabs>
          <w:tab w:pos="390" w:val="left" w:leader="none"/>
        </w:tabs>
        <w:spacing w:line="204" w:lineRule="exact" w:before="107" w:after="0"/>
        <w:ind w:left="389" w:right="0" w:hanging="282"/>
        <w:jc w:val="both"/>
        <w:rPr>
          <w:sz w:val="18"/>
        </w:rPr>
      </w:pPr>
      <w:r>
        <w:rPr>
          <w:color w:val="231F20"/>
          <w:sz w:val="18"/>
        </w:rPr>
        <w:t>PEYRL</w:t>
      </w:r>
      <w:r>
        <w:rPr>
          <w:color w:val="231F20"/>
          <w:spacing w:val="-14"/>
          <w:sz w:val="18"/>
        </w:rPr>
        <w:t> </w:t>
      </w:r>
      <w:r>
        <w:rPr>
          <w:color w:val="231F20"/>
          <w:sz w:val="18"/>
        </w:rPr>
        <w:t>A.,</w:t>
      </w:r>
      <w:r>
        <w:rPr>
          <w:color w:val="231F20"/>
          <w:spacing w:val="-4"/>
          <w:sz w:val="18"/>
        </w:rPr>
        <w:t> </w:t>
      </w:r>
      <w:r>
        <w:rPr>
          <w:color w:val="231F20"/>
          <w:sz w:val="18"/>
        </w:rPr>
        <w:t>CHOCHOLOUS</w:t>
      </w:r>
      <w:r>
        <w:rPr>
          <w:color w:val="231F20"/>
          <w:spacing w:val="-4"/>
          <w:sz w:val="18"/>
        </w:rPr>
        <w:t> </w:t>
      </w:r>
      <w:r>
        <w:rPr>
          <w:color w:val="231F20"/>
          <w:sz w:val="18"/>
        </w:rPr>
        <w:t>M.,</w:t>
      </w:r>
      <w:r>
        <w:rPr>
          <w:color w:val="231F20"/>
          <w:spacing w:val="-14"/>
          <w:sz w:val="18"/>
        </w:rPr>
        <w:t> </w:t>
      </w:r>
      <w:r>
        <w:rPr>
          <w:color w:val="231F20"/>
          <w:sz w:val="18"/>
        </w:rPr>
        <w:t>AZIZI</w:t>
      </w:r>
      <w:r>
        <w:rPr>
          <w:color w:val="231F20"/>
          <w:spacing w:val="-14"/>
          <w:sz w:val="18"/>
        </w:rPr>
        <w:t> </w:t>
      </w:r>
      <w:r>
        <w:rPr>
          <w:color w:val="231F20"/>
          <w:sz w:val="18"/>
        </w:rPr>
        <w:t>A.A.,</w:t>
      </w:r>
      <w:r>
        <w:rPr>
          <w:color w:val="231F20"/>
          <w:spacing w:val="-4"/>
          <w:sz w:val="18"/>
        </w:rPr>
        <w:t> </w:t>
      </w:r>
      <w:r>
        <w:rPr>
          <w:color w:val="231F20"/>
          <w:sz w:val="18"/>
        </w:rPr>
        <w:t>et</w:t>
      </w:r>
      <w:r>
        <w:rPr>
          <w:color w:val="231F20"/>
          <w:spacing w:val="-4"/>
          <w:sz w:val="18"/>
        </w:rPr>
        <w:t> </w:t>
      </w:r>
      <w:r>
        <w:rPr>
          <w:color w:val="231F20"/>
          <w:sz w:val="18"/>
        </w:rPr>
        <w:t>al.:</w:t>
      </w:r>
      <w:r>
        <w:rPr>
          <w:color w:val="231F20"/>
          <w:spacing w:val="-4"/>
          <w:sz w:val="18"/>
        </w:rPr>
        <w:t> </w:t>
      </w:r>
      <w:r>
        <w:rPr>
          <w:color w:val="231F20"/>
          <w:sz w:val="18"/>
        </w:rPr>
        <w:t>Safety</w:t>
      </w:r>
    </w:p>
    <w:p>
      <w:pPr>
        <w:spacing w:line="232" w:lineRule="auto" w:before="2"/>
        <w:ind w:left="419" w:right="120" w:firstLine="0"/>
        <w:jc w:val="both"/>
        <w:rPr>
          <w:sz w:val="18"/>
        </w:rPr>
      </w:pPr>
      <w:r>
        <w:rPr>
          <w:color w:val="231F20"/>
          <w:sz w:val="18"/>
        </w:rPr>
        <w:t>of Ommaya reservoirs in children with brain tumors: A 20-year experience with 5472 intraventricular drug ad- ministrations in 98 patients. J. Neurooncol., 120 (1): 139-</w:t>
      </w:r>
    </w:p>
    <w:p>
      <w:pPr>
        <w:spacing w:line="200" w:lineRule="exact" w:before="0"/>
        <w:ind w:left="419" w:right="0" w:firstLine="0"/>
        <w:jc w:val="both"/>
        <w:rPr>
          <w:sz w:val="18"/>
        </w:rPr>
      </w:pPr>
      <w:r>
        <w:rPr>
          <w:color w:val="231F20"/>
          <w:sz w:val="18"/>
        </w:rPr>
        <w:t>45, 2014.</w:t>
      </w:r>
    </w:p>
    <w:p>
      <w:pPr>
        <w:spacing w:after="0" w:line="200" w:lineRule="exact"/>
        <w:jc w:val="both"/>
        <w:rPr>
          <w:sz w:val="18"/>
        </w:rPr>
        <w:sectPr>
          <w:type w:val="continuous"/>
          <w:pgSz w:w="11900" w:h="16820"/>
          <w:pgMar w:top="1480" w:bottom="280" w:left="1080" w:right="1060"/>
          <w:cols w:num="2" w:equalWidth="0">
            <w:col w:w="4694" w:space="295"/>
            <w:col w:w="4771"/>
          </w:cols>
        </w:sectPr>
      </w:pPr>
    </w:p>
    <w:p>
      <w:pPr>
        <w:pStyle w:val="BodyText"/>
        <w:rPr>
          <w:sz w:val="20"/>
        </w:rPr>
      </w:pPr>
    </w:p>
    <w:p>
      <w:pPr>
        <w:pStyle w:val="BodyText"/>
        <w:spacing w:before="4" w:after="1"/>
        <w:rPr>
          <w:sz w:val="14"/>
        </w:rPr>
      </w:pPr>
    </w:p>
    <w:p>
      <w:pPr>
        <w:pStyle w:val="BodyText"/>
        <w:ind w:left="1931"/>
        <w:rPr>
          <w:sz w:val="20"/>
        </w:rPr>
      </w:pPr>
      <w:r>
        <w:rPr>
          <w:sz w:val="20"/>
        </w:rPr>
        <w:drawing>
          <wp:inline distT="0" distB="0" distL="0" distR="0">
            <wp:extent cx="3737312" cy="690562"/>
            <wp:effectExtent l="0" t="0" r="0" b="0"/>
            <wp:docPr id="1" name="image11.png"/>
            <wp:cNvGraphicFramePr>
              <a:graphicFrameLocks noChangeAspect="1"/>
            </wp:cNvGraphicFramePr>
            <a:graphic>
              <a:graphicData uri="http://schemas.openxmlformats.org/drawingml/2006/picture">
                <pic:pic>
                  <pic:nvPicPr>
                    <pic:cNvPr id="2" name="image11.png"/>
                    <pic:cNvPicPr/>
                  </pic:nvPicPr>
                  <pic:blipFill>
                    <a:blip r:embed="rId21" cstate="print"/>
                    <a:stretch>
                      <a:fillRect/>
                    </a:stretch>
                  </pic:blipFill>
                  <pic:spPr>
                    <a:xfrm>
                      <a:off x="0" y="0"/>
                      <a:ext cx="3737312" cy="690562"/>
                    </a:xfrm>
                    <a:prstGeom prst="rect">
                      <a:avLst/>
                    </a:prstGeom>
                  </pic:spPr>
                </pic:pic>
              </a:graphicData>
            </a:graphic>
          </wp:inline>
        </w:drawing>
      </w:r>
      <w:r>
        <w:rPr>
          <w:sz w:val="20"/>
        </w:rPr>
      </w:r>
    </w:p>
    <w:p>
      <w:pPr>
        <w:pStyle w:val="BodyText"/>
        <w:spacing w:before="1"/>
        <w:rPr>
          <w:sz w:val="12"/>
        </w:rPr>
      </w:pPr>
      <w:r>
        <w:rPr/>
        <w:pict>
          <v:rect style="position:absolute;margin-left:285.47702pt;margin-top:8.922768pt;width:24.990001pt;height:.861pt;mso-position-horizontal-relative:page;mso-position-vertical-relative:paragraph;z-index:-15723008;mso-wrap-distance-left:0;mso-wrap-distance-right:0" filled="true" fillcolor="#231f20" stroked="false">
            <v:fill type="solid"/>
            <w10:wrap type="topAndBottom"/>
          </v:rect>
        </w:pict>
      </w:r>
    </w:p>
    <w:p>
      <w:pPr>
        <w:pStyle w:val="BodyText"/>
        <w:rPr>
          <w:sz w:val="20"/>
        </w:rPr>
      </w:pPr>
    </w:p>
    <w:p>
      <w:pPr>
        <w:pStyle w:val="BodyText"/>
        <w:spacing w:before="8"/>
        <w:rPr>
          <w:sz w:val="12"/>
        </w:rPr>
      </w:pPr>
      <w:r>
        <w:rPr/>
        <w:pict>
          <v:group style="position:absolute;margin-left:59.665001pt;margin-top:9.263177pt;width:26.8pt;height:10.050pt;mso-position-horizontal-relative:page;mso-position-vertical-relative:paragraph;z-index:-15722496;mso-wrap-distance-left:0;mso-wrap-distance-right:0" coordorigin="1193,185" coordsize="536,201">
            <v:shape style="position:absolute;left:1715;top:191;width:14;height:133" coordorigin="1715,191" coordsize="14,133" path="m1729,191l1715,208,1715,324,1729,305,1729,191xe" filled="true" fillcolor="#231f20" stroked="false">
              <v:path arrowok="t"/>
              <v:fill type="solid"/>
            </v:shape>
            <v:shape style="position:absolute;left:1193;top:185;width:486;height:201" type="#_x0000_t75" stroked="false">
              <v:imagedata r:id="rId22" o:title=""/>
            </v:shape>
            <w10:wrap type="topAndBottom"/>
          </v:group>
        </w:pict>
      </w:r>
      <w:r>
        <w:rPr/>
        <w:drawing>
          <wp:anchor distT="0" distB="0" distL="0" distR="0" allowOverlap="1" layoutInCell="1" locked="0" behindDoc="0" simplePos="0" relativeHeight="13">
            <wp:simplePos x="0" y="0"/>
            <wp:positionH relativeFrom="page">
              <wp:posOffset>1142955</wp:posOffset>
            </wp:positionH>
            <wp:positionV relativeFrom="paragraph">
              <wp:posOffset>120395</wp:posOffset>
            </wp:positionV>
            <wp:extent cx="956469" cy="140874"/>
            <wp:effectExtent l="0" t="0" r="0" b="0"/>
            <wp:wrapTopAndBottom/>
            <wp:docPr id="3" name="image13.png"/>
            <wp:cNvGraphicFramePr>
              <a:graphicFrameLocks noChangeAspect="1"/>
            </wp:cNvGraphicFramePr>
            <a:graphic>
              <a:graphicData uri="http://schemas.openxmlformats.org/drawingml/2006/picture">
                <pic:pic>
                  <pic:nvPicPr>
                    <pic:cNvPr id="4" name="image13.png"/>
                    <pic:cNvPicPr/>
                  </pic:nvPicPr>
                  <pic:blipFill>
                    <a:blip r:embed="rId23" cstate="print"/>
                    <a:stretch>
                      <a:fillRect/>
                    </a:stretch>
                  </pic:blipFill>
                  <pic:spPr>
                    <a:xfrm>
                      <a:off x="0" y="0"/>
                      <a:ext cx="956469" cy="140874"/>
                    </a:xfrm>
                    <a:prstGeom prst="rect">
                      <a:avLst/>
                    </a:prstGeom>
                  </pic:spPr>
                </pic:pic>
              </a:graphicData>
            </a:graphic>
          </wp:anchor>
        </w:drawing>
      </w:r>
      <w:r>
        <w:rPr/>
        <w:pict>
          <v:group style="position:absolute;margin-left:168.25885pt;margin-top:9.573676pt;width:46.25pt;height:10.65pt;mso-position-horizontal-relative:page;mso-position-vertical-relative:paragraph;z-index:-15721472;mso-wrap-distance-left:0;mso-wrap-distance-right:0" coordorigin="3365,191" coordsize="925,213">
            <v:shape style="position:absolute;left:4276;top:191;width:14;height:133" coordorigin="4276,191" coordsize="14,133" path="m4290,191l4276,208,4276,324,4290,305,4290,191xe" filled="true" fillcolor="#231f20" stroked="false">
              <v:path arrowok="t"/>
              <v:fill type="solid"/>
            </v:shape>
            <v:shape style="position:absolute;left:3812;top:191;width:432;height:213" type="#_x0000_t75" stroked="false">
              <v:imagedata r:id="rId24" o:title=""/>
            </v:shape>
            <v:shape style="position:absolute;left:3365;top:265;width:387;height:121" type="#_x0000_t75" stroked="false">
              <v:imagedata r:id="rId25" o:title=""/>
            </v:shape>
            <w10:wrap type="topAndBottom"/>
          </v:group>
        </w:pict>
      </w:r>
      <w:r>
        <w:rPr/>
        <w:pict>
          <v:group style="position:absolute;margin-left:219.252396pt;margin-top:9.263177pt;width:316.5pt;height:26.25pt;mso-position-horizontal-relative:page;mso-position-vertical-relative:paragraph;z-index:-15720960;mso-wrap-distance-left:0;mso-wrap-distance-right:0" coordorigin="4385,185" coordsize="6330,525">
            <v:shape style="position:absolute;left:10259;top:491;width:456;height:192" type="#_x0000_t75" stroked="false">
              <v:imagedata r:id="rId26" o:title=""/>
            </v:shape>
            <v:shape style="position:absolute;left:10118;top:544;width:105;height:158" type="#_x0000_t75" stroked="false">
              <v:imagedata r:id="rId27" o:title=""/>
            </v:shape>
            <v:shape style="position:absolute;left:5717;top:600;width:14;height:25" coordorigin="5718,601" coordsize="14,25" path="m5729,601l5720,601,5718,605,5718,621,5720,625,5725,625,5729,625,5732,621,5732,605,5729,601xe" filled="true" fillcolor="#231f20" stroked="false">
              <v:path arrowok="t"/>
              <v:fill type="solid"/>
            </v:shape>
            <v:shape style="position:absolute;left:9802;top:190;width:585;height:180" type="#_x0000_t75" stroked="false">
              <v:imagedata r:id="rId28" o:title=""/>
            </v:shape>
            <v:shape style="position:absolute;left:4385;top:185;width:5701;height:525" type="#_x0000_t75" stroked="false">
              <v:imagedata r:id="rId29" o:title=""/>
            </v:shape>
            <w10:wrap type="topAndBottom"/>
          </v:group>
        </w:pict>
      </w:r>
      <w:r>
        <w:rPr/>
        <w:pict>
          <v:group style="position:absolute;margin-left:59.673pt;margin-top:47.767078pt;width:22.05pt;height:11.25pt;mso-position-horizontal-relative:page;mso-position-vertical-relative:paragraph;z-index:-15720448;mso-wrap-distance-left:0;mso-wrap-distance-right:0" coordorigin="1193,955" coordsize="441,225">
            <v:shape style="position:absolute;left:1620;top:961;width:14;height:133" coordorigin="1621,962" coordsize="14,133" path="m1634,962l1621,978,1621,1095,1634,1075,1634,962xe" filled="true" fillcolor="#231f20" stroked="false">
              <v:path arrowok="t"/>
              <v:fill type="solid"/>
            </v:shape>
            <v:shape style="position:absolute;left:1304;top:955;width:279;height:188" type="#_x0000_t75" stroked="false">
              <v:imagedata r:id="rId30" o:title=""/>
            </v:shape>
            <v:shape style="position:absolute;left:1193;top:1041;width:78;height:139" coordorigin="1193,1042" coordsize="78,139" path="m1231,1042l1229,1042,1224,1042,1220,1045,1209,1060,1206,1066,1206,1070,1225,1060,1240,1077,1193,1099,1193,1104,1195,1111,1202,1139,1205,1163,1207,1180,1212,1171,1214,1166,1214,1162,1214,1150,1213,1140,1206,1113,1204,1104,1204,1096,1215,1094,1249,1094,1258,1094,1266,1095,1271,1080,1265,1078,1257,1071,1237,1047,1231,1042xe" filled="true" fillcolor="#231f20" stroked="false">
              <v:path arrowok="t"/>
              <v:fill type="solid"/>
            </v:shape>
            <w10:wrap type="topAndBottom"/>
          </v:group>
        </w:pict>
      </w:r>
      <w:r>
        <w:rPr/>
        <w:drawing>
          <wp:anchor distT="0" distB="0" distL="0" distR="0" allowOverlap="1" layoutInCell="1" locked="0" behindDoc="0" simplePos="0" relativeHeight="17">
            <wp:simplePos x="0" y="0"/>
            <wp:positionH relativeFrom="page">
              <wp:posOffset>1086261</wp:posOffset>
            </wp:positionH>
            <wp:positionV relativeFrom="paragraph">
              <wp:posOffset>607683</wp:posOffset>
            </wp:positionV>
            <wp:extent cx="2530465" cy="138112"/>
            <wp:effectExtent l="0" t="0" r="0" b="0"/>
            <wp:wrapTopAndBottom/>
            <wp:docPr id="5" name="image21.png"/>
            <wp:cNvGraphicFramePr>
              <a:graphicFrameLocks noChangeAspect="1"/>
            </wp:cNvGraphicFramePr>
            <a:graphic>
              <a:graphicData uri="http://schemas.openxmlformats.org/drawingml/2006/picture">
                <pic:pic>
                  <pic:nvPicPr>
                    <pic:cNvPr id="6" name="image21.png"/>
                    <pic:cNvPicPr/>
                  </pic:nvPicPr>
                  <pic:blipFill>
                    <a:blip r:embed="rId31" cstate="print"/>
                    <a:stretch>
                      <a:fillRect/>
                    </a:stretch>
                  </pic:blipFill>
                  <pic:spPr>
                    <a:xfrm>
                      <a:off x="0" y="0"/>
                      <a:ext cx="2530465" cy="138112"/>
                    </a:xfrm>
                    <a:prstGeom prst="rect">
                      <a:avLst/>
                    </a:prstGeom>
                  </pic:spPr>
                </pic:pic>
              </a:graphicData>
            </a:graphic>
          </wp:anchor>
        </w:drawing>
      </w:r>
      <w:r>
        <w:rPr/>
        <w:pict>
          <v:group style="position:absolute;margin-left:288.408386pt;margin-top:47.767078pt;width:58.35pt;height:10.8pt;mso-position-horizontal-relative:page;mso-position-vertical-relative:paragraph;z-index:-15719424;mso-wrap-distance-left:0;mso-wrap-distance-right:0" coordorigin="5768,955" coordsize="1167,216">
            <v:shape style="position:absolute;left:6921;top:961;width:14;height:133" coordorigin="6921,962" coordsize="14,133" path="m6935,962l6921,978,6921,1095,6935,1075,6935,962xe" filled="true" fillcolor="#231f20" stroked="false">
              <v:path arrowok="t"/>
              <v:fill type="solid"/>
            </v:shape>
            <v:shape style="position:absolute;left:6488;top:955;width:395;height:143" type="#_x0000_t75" stroked="false">
              <v:imagedata r:id="rId32" o:title=""/>
            </v:shape>
            <v:shape style="position:absolute;left:6258;top:973;width:164;height:167" type="#_x0000_t75" stroked="false">
              <v:imagedata r:id="rId33" o:title=""/>
            </v:shape>
            <v:shape style="position:absolute;left:6184;top:961;width:14;height:133" coordorigin="6184,962" coordsize="14,133" path="m6198,962l6184,978,6184,1095,6198,1075,6198,962xe" filled="true" fillcolor="#231f20" stroked="false">
              <v:path arrowok="t"/>
              <v:fill type="solid"/>
            </v:shape>
            <v:shape style="position:absolute;left:5915;top:961;width:236;height:182" type="#_x0000_t75" stroked="false">
              <v:imagedata r:id="rId34" o:title=""/>
            </v:shape>
            <v:shape style="position:absolute;left:5768;top:1014;width:105;height:158" type="#_x0000_t75" stroked="false">
              <v:imagedata r:id="rId35" o:title=""/>
            </v:shape>
            <w10:wrap type="topAndBottom"/>
          </v:group>
        </w:pict>
      </w:r>
      <w:r>
        <w:rPr/>
        <w:pict>
          <v:group style="position:absolute;margin-left:350.25pt;margin-top:48.007977pt;width:184.95pt;height:25.05pt;mso-position-horizontal-relative:page;mso-position-vertical-relative:paragraph;z-index:-15718912;mso-wrap-distance-left:0;mso-wrap-distance-right:0" coordorigin="7005,960" coordsize="3699,501">
            <v:shape style="position:absolute;left:10689;top:1261;width:14;height:133" coordorigin="10690,1262" coordsize="14,133" path="m10703,1262l10690,1278,10690,1395,10703,1375,10703,1262xe" filled="true" fillcolor="#231f20" stroked="false">
              <v:path arrowok="t"/>
              <v:fill type="solid"/>
            </v:shape>
            <v:shape style="position:absolute;left:10224;top:1261;width:432;height:189" type="#_x0000_t75" stroked="false">
              <v:imagedata r:id="rId36" o:title=""/>
            </v:shape>
            <v:shape style="position:absolute;left:10137;top:1261;width:14;height:133" coordorigin="10138,1262" coordsize="14,133" path="m10151,1262l10138,1278,10138,1395,10151,1375,10151,1262xe" filled="true" fillcolor="#231f20" stroked="false">
              <v:path arrowok="t"/>
              <v:fill type="solid"/>
            </v:shape>
            <v:shape style="position:absolute;left:9583;top:1261;width:521;height:189" type="#_x0000_t75" stroked="false">
              <v:imagedata r:id="rId37" o:title=""/>
            </v:shape>
            <v:shape style="position:absolute;left:7606;top:1370;width:14;height:25" coordorigin="7606,1371" coordsize="14,25" path="m7618,1371l7609,1371,7606,1375,7606,1391,7609,1395,7613,1395,7618,1395,7620,1391,7620,1375,7618,1371xe" filled="true" fillcolor="#231f20" stroked="false">
              <v:path arrowok="t"/>
              <v:fill type="solid"/>
            </v:shape>
            <v:shape style="position:absolute;left:7005;top:960;width:3382;height:501" type="#_x0000_t75" stroked="false">
              <v:imagedata r:id="rId38" o:title=""/>
            </v:shape>
            <w10:wrap type="topAndBottom"/>
          </v:group>
        </w:pict>
      </w:r>
      <w:r>
        <w:rPr/>
        <w:pict>
          <v:group style="position:absolute;margin-left:59.665001pt;margin-top:86.428177pt;width:476.1pt;height:40pt;mso-position-horizontal-relative:page;mso-position-vertical-relative:paragraph;z-index:-15718400;mso-wrap-distance-left:0;mso-wrap-distance-right:0" coordorigin="1193,1729" coordsize="9522,800">
            <v:shape style="position:absolute;left:3833;top:2440;width:14;height:25" coordorigin="3833,2441" coordsize="14,25" path="m3845,2441l3835,2441,3833,2445,3833,2461,3835,2465,3840,2465,3845,2465,3847,2461,3847,2445,3845,2441xe" filled="true" fillcolor="#231f20" stroked="false">
              <v:path arrowok="t"/>
              <v:fill type="solid"/>
            </v:shape>
            <v:shape style="position:absolute;left:2714;top:1728;width:8001;height:800" type="#_x0000_t75" stroked="false">
              <v:imagedata r:id="rId39" o:title=""/>
            </v:shape>
            <v:shape style="position:absolute;left:1193;top:1731;width:1582;height:495" type="#_x0000_t75" stroked="false">
              <v:imagedata r:id="rId40" o:title=""/>
            </v:shape>
            <w10:wrap type="topAndBottom"/>
          </v:group>
        </w:pict>
      </w:r>
      <w:r>
        <w:rPr/>
        <w:pict>
          <v:group style="position:absolute;margin-left:59.508301pt;margin-top:139.921371pt;width:476.25pt;height:54.9pt;mso-position-horizontal-relative:page;mso-position-vertical-relative:paragraph;z-index:-15717888;mso-wrap-distance-left:0;mso-wrap-distance-right:0" coordorigin="1190,2798" coordsize="9525,1098">
            <v:shape style="position:absolute;left:10325;top:3775;width:389;height:121" type="#_x0000_t75" stroked="false">
              <v:imagedata r:id="rId41" o:title=""/>
            </v:shape>
            <v:shape style="position:absolute;left:9797;top:3717;width:466;height:174" type="#_x0000_t75" stroked="false">
              <v:imagedata r:id="rId42" o:title=""/>
            </v:shape>
            <v:shape style="position:absolute;left:9712;top:3701;width:14;height:133" coordorigin="9712,3702" coordsize="14,133" path="m9726,3702l9712,3718,9712,3835,9726,3815,9726,3702xe" filled="true" fillcolor="#231f20" stroked="false">
              <v:path arrowok="t"/>
              <v:fill type="solid"/>
            </v:shape>
            <v:shape style="position:absolute;left:9246;top:3701;width:433;height:133" type="#_x0000_t75" stroked="false">
              <v:imagedata r:id="rId43" o:title=""/>
            </v:shape>
            <v:shape style="position:absolute;left:8990;top:3741;width:196;height:140" type="#_x0000_t75" stroked="false">
              <v:imagedata r:id="rId44" o:title=""/>
            </v:shape>
            <v:shape style="position:absolute;left:7610;top:3395;width:3104;height:501" type="#_x0000_t75" stroked="false">
              <v:imagedata r:id="rId45" o:title=""/>
            </v:shape>
            <v:shape style="position:absolute;left:6449;top:3701;width:14;height:133" coordorigin="6449,3702" coordsize="14,133" path="m6463,3702l6449,3718,6449,3835,6463,3815,6463,3702xe" filled="true" fillcolor="#231f20" stroked="false">
              <v:path arrowok="t"/>
              <v:fill type="solid"/>
            </v:shape>
            <v:shape style="position:absolute;left:6044;top:3701;width:372;height:189" type="#_x0000_t75" stroked="false">
              <v:imagedata r:id="rId46" o:title=""/>
            </v:shape>
            <v:shape style="position:absolute;left:5997;top:3401;width:1542;height:434" coordorigin="5998,3402" coordsize="1542,434" path="m6012,3815l6010,3811,6000,3811,5998,3815,5998,3831,6000,3835,6005,3835,6010,3835,6012,3831,6012,3815xm7539,3402l7526,3418,7526,3535,7539,3515,7539,3402xe" filled="true" fillcolor="#231f20" stroked="false">
              <v:path arrowok="t"/>
              <v:fill type="solid"/>
            </v:shape>
            <v:shape style="position:absolute;left:7137;top:3401;width:355;height:189" type="#_x0000_t75" stroked="false">
              <v:imagedata r:id="rId47" o:title=""/>
            </v:shape>
            <v:shape style="position:absolute;left:1766;top:3401;width:1201;height:213" type="#_x0000_t75" stroked="false">
              <v:imagedata r:id="rId48" o:title=""/>
            </v:shape>
            <v:shape style="position:absolute;left:1680;top:3401;width:14;height:133" coordorigin="1680,3402" coordsize="14,133" path="m1694,3402l1680,3418,1680,3535,1694,3515,1694,3402xe" filled="true" fillcolor="#231f20" stroked="false">
              <v:path arrowok="t"/>
              <v:fill type="solid"/>
            </v:shape>
            <v:shape style="position:absolute;left:1448;top:3401;width:199;height:133" type="#_x0000_t75" stroked="false">
              <v:imagedata r:id="rId49" o:title=""/>
            </v:shape>
            <v:shape style="position:absolute;left:1193;top:3401;width:225;height:144" type="#_x0000_t75" stroked="false">
              <v:imagedata r:id="rId50" o:title=""/>
            </v:shape>
            <v:shape style="position:absolute;left:9364;top:3101;width:14;height:133" coordorigin="9364,3102" coordsize="14,133" path="m9378,3102l9364,3118,9364,3235,9378,3215,9378,3102xe" filled="true" fillcolor="#231f20" stroked="false">
              <v:path arrowok="t"/>
              <v:fill type="solid"/>
            </v:shape>
            <v:shape style="position:absolute;left:8913;top:3101;width:418;height:188" type="#_x0000_t75" stroked="false">
              <v:imagedata r:id="rId51" o:title=""/>
            </v:shape>
            <v:shape style="position:absolute;left:9133;top:2800;width:1582;height:490" type="#_x0000_t75" stroked="false">
              <v:imagedata r:id="rId52" o:title=""/>
            </v:shape>
            <v:shape style="position:absolute;left:8626;top:3155;width:210;height:135" type="#_x0000_t75" stroked="false">
              <v:imagedata r:id="rId53" o:title=""/>
            </v:shape>
            <v:shape style="position:absolute;left:8521;top:3101;width:14;height:133" coordorigin="8522,3102" coordsize="14,133" path="m8536,3102l8522,3118,8522,3235,8536,3215,8536,3102xe" filled="true" fillcolor="#231f20" stroked="false">
              <v:path arrowok="t"/>
              <v:fill type="solid"/>
            </v:shape>
            <v:shape style="position:absolute;left:7978;top:3101;width:510;height:189" type="#_x0000_t75" stroked="false">
              <v:imagedata r:id="rId54" o:title=""/>
            </v:shape>
            <v:shape style="position:absolute;left:1190;top:2798;width:7876;height:1092" type="#_x0000_t75" stroked="false">
              <v:imagedata r:id="rId55" o:title=""/>
            </v:shape>
            <w10:wrap type="topAndBottom"/>
          </v:group>
        </w:pict>
      </w:r>
      <w:r>
        <w:rPr/>
        <w:drawing>
          <wp:anchor distT="0" distB="0" distL="0" distR="0" allowOverlap="1" layoutInCell="1" locked="0" behindDoc="0" simplePos="0" relativeHeight="22">
            <wp:simplePos x="0" y="0"/>
            <wp:positionH relativeFrom="page">
              <wp:posOffset>757751</wp:posOffset>
            </wp:positionH>
            <wp:positionV relativeFrom="paragraph">
              <wp:posOffset>2646534</wp:posOffset>
            </wp:positionV>
            <wp:extent cx="2397198" cy="121348"/>
            <wp:effectExtent l="0" t="0" r="0" b="0"/>
            <wp:wrapTopAndBottom/>
            <wp:docPr id="7" name="image46.png"/>
            <wp:cNvGraphicFramePr>
              <a:graphicFrameLocks noChangeAspect="1"/>
            </wp:cNvGraphicFramePr>
            <a:graphic>
              <a:graphicData uri="http://schemas.openxmlformats.org/drawingml/2006/picture">
                <pic:pic>
                  <pic:nvPicPr>
                    <pic:cNvPr id="8" name="image46.png"/>
                    <pic:cNvPicPr/>
                  </pic:nvPicPr>
                  <pic:blipFill>
                    <a:blip r:embed="rId56" cstate="print"/>
                    <a:stretch>
                      <a:fillRect/>
                    </a:stretch>
                  </pic:blipFill>
                  <pic:spPr>
                    <a:xfrm>
                      <a:off x="0" y="0"/>
                      <a:ext cx="2397198" cy="121348"/>
                    </a:xfrm>
                    <a:prstGeom prst="rect">
                      <a:avLst/>
                    </a:prstGeom>
                  </pic:spPr>
                </pic:pic>
              </a:graphicData>
            </a:graphic>
          </wp:anchor>
        </w:drawing>
      </w:r>
      <w:r>
        <w:rPr/>
        <w:pict>
          <v:group style="position:absolute;margin-left:252.666702pt;margin-top:208.24205pt;width:267.350pt;height:25.3pt;mso-position-horizontal-relative:page;mso-position-vertical-relative:paragraph;z-index:-15716864;mso-wrap-distance-left:0;mso-wrap-distance-right:0" coordorigin="5053,4165" coordsize="5347,506">
            <v:shape style="position:absolute;left:8196;top:4471;width:14;height:133" coordorigin="8196,4471" coordsize="14,133" path="m8210,4471l8196,4487,8196,4604,8210,4585,8210,4471xe" filled="true" fillcolor="#231f20" stroked="false">
              <v:path arrowok="t"/>
              <v:fill type="solid"/>
            </v:shape>
            <v:shape style="position:absolute;left:7923;top:4471;width:240;height:182" type="#_x0000_t75" stroked="false">
              <v:imagedata r:id="rId57" o:title=""/>
            </v:shape>
            <v:shape style="position:absolute;left:7717;top:4471;width:173;height:182" type="#_x0000_t75" stroked="false">
              <v:imagedata r:id="rId58" o:title=""/>
            </v:shape>
            <v:shape style="position:absolute;left:5934;top:4471;width:1717;height:199" type="#_x0000_t75" stroked="false">
              <v:imagedata r:id="rId59" o:title=""/>
            </v:shape>
            <v:shape style="position:absolute;left:6270;top:4167;width:4130;height:503" type="#_x0000_t75" stroked="false">
              <v:imagedata r:id="rId60" o:title=""/>
            </v:shape>
            <v:shape style="position:absolute;left:5887;top:4171;width:318;height:434" coordorigin="5887,4171" coordsize="318,434" path="m5901,4584l5899,4580,5889,4580,5887,4584,5887,4600,5889,4605,5894,4605,5899,4605,5901,4601,5901,4584xm6204,4171l6191,4187,6191,4304,6204,4285,6204,4171xe" filled="true" fillcolor="#231f20" stroked="false">
              <v:path arrowok="t"/>
              <v:fill type="solid"/>
            </v:shape>
            <v:shape style="position:absolute;left:5761;top:4164;width:393;height:143" type="#_x0000_t75" stroked="false">
              <v:imagedata r:id="rId61" o:title=""/>
            </v:shape>
            <v:shape style="position:absolute;left:5536;top:4182;width:163;height:167" type="#_x0000_t75" stroked="false">
              <v:imagedata r:id="rId62" o:title=""/>
            </v:shape>
            <v:shape style="position:absolute;left:5465;top:4171;width:14;height:133" coordorigin="5466,4171" coordsize="14,133" path="m5480,4171l5466,4187,5466,4304,5480,4285,5480,4171xe" filled="true" fillcolor="#231f20" stroked="false">
              <v:path arrowok="t"/>
              <v:fill type="solid"/>
            </v:shape>
            <v:shape style="position:absolute;left:5199;top:4171;width:233;height:182" type="#_x0000_t75" stroked="false">
              <v:imagedata r:id="rId63" o:title=""/>
            </v:shape>
            <v:shape style="position:absolute;left:5053;top:4223;width:105;height:158" type="#_x0000_t75" stroked="false">
              <v:imagedata r:id="rId27" o:title=""/>
            </v:shape>
            <w10:wrap type="topAndBottom"/>
          </v:group>
        </w:pict>
      </w:r>
      <w:r>
        <w:rPr/>
        <w:pict>
          <v:group style="position:absolute;margin-left:524.302185pt;margin-top:223.552643pt;width:10.9pt;height:9.450pt;mso-position-horizontal-relative:page;mso-position-vertical-relative:paragraph;z-index:-15716352;mso-wrap-distance-left:0;mso-wrap-distance-right:0" coordorigin="10486,4471" coordsize="218,189">
            <v:shape style="position:absolute;left:10689;top:4471;width:14;height:133" coordorigin="10690,4471" coordsize="14,133" path="m10703,4471l10690,4487,10690,4604,10703,4585,10703,4471xe" filled="true" fillcolor="#231f20" stroked="false">
              <v:path arrowok="t"/>
              <v:fill type="solid"/>
            </v:shape>
            <v:shape style="position:absolute;left:10486;top:4471;width:171;height:189" type="#_x0000_t75" stroked="false">
              <v:imagedata r:id="rId64" o:title=""/>
            </v:shape>
            <w10:wrap type="topAndBottom"/>
          </v:group>
        </w:pict>
      </w:r>
    </w:p>
    <w:p>
      <w:pPr>
        <w:pStyle w:val="BodyText"/>
        <w:spacing w:before="5"/>
        <w:rPr>
          <w:sz w:val="15"/>
        </w:rPr>
      </w:pPr>
    </w:p>
    <w:p>
      <w:pPr>
        <w:pStyle w:val="BodyText"/>
        <w:spacing w:before="4"/>
        <w:rPr>
          <w:sz w:val="17"/>
        </w:rPr>
      </w:pPr>
    </w:p>
    <w:p>
      <w:pPr>
        <w:pStyle w:val="BodyText"/>
        <w:spacing w:before="6"/>
        <w:rPr>
          <w:sz w:val="17"/>
        </w:rPr>
      </w:pPr>
    </w:p>
    <w:p>
      <w:pPr>
        <w:pStyle w:val="BodyText"/>
        <w:spacing w:before="5"/>
        <w:rPr>
          <w:sz w:val="17"/>
        </w:rPr>
      </w:pPr>
    </w:p>
    <w:sectPr>
      <w:headerReference w:type="default" r:id="rId20"/>
      <w:pgSz w:w="11900" w:h="16820"/>
      <w:pgMar w:header="1286" w:footer="0" w:top="1520" w:bottom="280" w:left="1080" w:right="10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8.527466pt;margin-top:62.312988pt;width:276.25pt;height:13.1pt;mso-position-horizontal-relative:page;mso-position-vertical-relative:page;z-index:-15964160" type="#_x0000_t202" filled="false" stroked="false">
          <v:textbox inset="0,0,0,0">
            <w:txbxContent>
              <w:p>
                <w:pPr>
                  <w:spacing w:before="11"/>
                  <w:ind w:left="20" w:right="0" w:firstLine="0"/>
                  <w:jc w:val="left"/>
                  <w:rPr>
                    <w:i/>
                    <w:sz w:val="20"/>
                  </w:rPr>
                </w:pPr>
                <w:r>
                  <w:rPr>
                    <w:i/>
                    <w:color w:val="231F20"/>
                    <w:sz w:val="20"/>
                  </w:rPr>
                  <w:t>Med. J. Cairo Univ., Vol. 88, No. 5, Septemper: 1651-1655, 2020</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408325pt;margin-top:63.313232pt;width:22pt;height:13.1pt;mso-position-horizontal-relative:page;mso-position-vertical-relative:page;z-index:-15963648" type="#_x0000_t202" filled="false" stroked="false">
          <v:textbox inset="0,0,0,0">
            <w:txbxContent>
              <w:p>
                <w:pPr>
                  <w:spacing w:before="11"/>
                  <w:ind w:left="20" w:right="0" w:firstLine="0"/>
                  <w:jc w:val="left"/>
                  <w:rPr>
                    <w:i/>
                    <w:sz w:val="20"/>
                  </w:rPr>
                </w:pPr>
                <w:r>
                  <w:rPr>
                    <w:i/>
                    <w:color w:val="231F20"/>
                    <w:sz w:val="20"/>
                  </w:rPr>
                  <w:t>1652</w:t>
                </w:r>
              </w:p>
            </w:txbxContent>
          </v:textbox>
          <w10:wrap type="none"/>
        </v:shape>
      </w:pict>
    </w:r>
    <w:r>
      <w:rPr/>
      <w:pict>
        <v:shape style="position:absolute;margin-left:262.755249pt;margin-top:64.313232pt;width:274.350pt;height:13.1pt;mso-position-horizontal-relative:page;mso-position-vertical-relative:page;z-index:-15963136" type="#_x0000_t202" filled="false" stroked="false">
          <v:textbox inset="0,0,0,0">
            <w:txbxContent>
              <w:p>
                <w:pPr>
                  <w:spacing w:before="11"/>
                  <w:ind w:left="20" w:right="0" w:firstLine="0"/>
                  <w:jc w:val="left"/>
                  <w:rPr>
                    <w:i/>
                    <w:sz w:val="20"/>
                  </w:rPr>
                </w:pPr>
                <w:r>
                  <w:rPr>
                    <w:i/>
                    <w:color w:val="231F20"/>
                    <w:sz w:val="20"/>
                  </w:rPr>
                  <w:t>Accuracy of C-Arm Guided Insertion of Ommaya Reservoir Tube</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577881pt;margin-top:63.313232pt;width:22pt;height:13.1pt;mso-position-horizontal-relative:page;mso-position-vertical-relative:page;z-index:-15962624" type="#_x0000_t202" filled="false" stroked="false">
          <v:textbox inset="0,0,0,0">
            <w:txbxContent>
              <w:p>
                <w:pPr>
                  <w:spacing w:before="11"/>
                  <w:ind w:left="20" w:right="0" w:firstLine="0"/>
                  <w:jc w:val="left"/>
                  <w:rPr>
                    <w:i/>
                    <w:sz w:val="20"/>
                  </w:rPr>
                </w:pPr>
                <w:r>
                  <w:rPr>
                    <w:i/>
                    <w:color w:val="231F20"/>
                    <w:sz w:val="20"/>
                  </w:rPr>
                  <w:t>1653</w:t>
                </w:r>
              </w:p>
            </w:txbxContent>
          </v:textbox>
          <w10:wrap type="none"/>
        </v:shape>
      </w:pict>
    </w:r>
    <w:r>
      <w:rPr/>
      <w:pict>
        <v:shape style="position:absolute;margin-left:58.52417pt;margin-top:64.313232pt;width:106.5pt;height:13.1pt;mso-position-horizontal-relative:page;mso-position-vertical-relative:page;z-index:-15962112" type="#_x0000_t202" filled="false" stroked="false">
          <v:textbox inset="0,0,0,0">
            <w:txbxContent>
              <w:p>
                <w:pPr>
                  <w:spacing w:before="11"/>
                  <w:ind w:left="20" w:right="0" w:firstLine="0"/>
                  <w:jc w:val="left"/>
                  <w:rPr>
                    <w:i/>
                    <w:sz w:val="20"/>
                  </w:rPr>
                </w:pPr>
                <w:r>
                  <w:rPr>
                    <w:i/>
                    <w:color w:val="231F20"/>
                    <w:sz w:val="20"/>
                  </w:rPr>
                  <w:t>Mohammed Adawi, et al.</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408203pt;margin-top:63.313232pt;width:22pt;height:13.1pt;mso-position-horizontal-relative:page;mso-position-vertical-relative:page;z-index:-15961600" type="#_x0000_t202" filled="false" stroked="false">
          <v:textbox inset="0,0,0,0">
            <w:txbxContent>
              <w:p>
                <w:pPr>
                  <w:spacing w:before="11"/>
                  <w:ind w:left="20" w:right="0" w:firstLine="0"/>
                  <w:jc w:val="left"/>
                  <w:rPr>
                    <w:i/>
                    <w:sz w:val="20"/>
                  </w:rPr>
                </w:pPr>
                <w:r>
                  <w:rPr>
                    <w:i/>
                    <w:color w:val="231F20"/>
                    <w:sz w:val="20"/>
                  </w:rPr>
                  <w:t>1654</w:t>
                </w:r>
              </w:p>
            </w:txbxContent>
          </v:textbox>
          <w10:wrap type="none"/>
        </v:shape>
      </w:pict>
    </w:r>
    <w:r>
      <w:rPr/>
      <w:pict>
        <v:shape style="position:absolute;margin-left:262.755127pt;margin-top:64.313232pt;width:274.350pt;height:13.1pt;mso-position-horizontal-relative:page;mso-position-vertical-relative:page;z-index:-15961088" type="#_x0000_t202" filled="false" stroked="false">
          <v:textbox inset="0,0,0,0">
            <w:txbxContent>
              <w:p>
                <w:pPr>
                  <w:spacing w:before="11"/>
                  <w:ind w:left="20" w:right="0" w:firstLine="0"/>
                  <w:jc w:val="left"/>
                  <w:rPr>
                    <w:i/>
                    <w:sz w:val="20"/>
                  </w:rPr>
                </w:pPr>
                <w:r>
                  <w:rPr>
                    <w:i/>
                    <w:color w:val="231F20"/>
                    <w:sz w:val="20"/>
                  </w:rPr>
                  <w:t>Accuracy of C-Arm Guided Insertion of Ommaya Reservoir Tube</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598145pt;margin-top:63.313232pt;width:22pt;height:13.1pt;mso-position-horizontal-relative:page;mso-position-vertical-relative:page;z-index:-15960576" type="#_x0000_t202" filled="false" stroked="false">
          <v:textbox inset="0,0,0,0">
            <w:txbxContent>
              <w:p>
                <w:pPr>
                  <w:spacing w:before="11"/>
                  <w:ind w:left="20" w:right="0" w:firstLine="0"/>
                  <w:jc w:val="left"/>
                  <w:rPr>
                    <w:i/>
                    <w:sz w:val="20"/>
                  </w:rPr>
                </w:pPr>
                <w:r>
                  <w:rPr>
                    <w:i/>
                    <w:color w:val="231F20"/>
                    <w:sz w:val="20"/>
                  </w:rPr>
                  <w:t>1655</w:t>
                </w:r>
              </w:p>
            </w:txbxContent>
          </v:textbox>
          <w10:wrap type="none"/>
        </v:shape>
      </w:pict>
    </w:r>
    <w:r>
      <w:rPr/>
      <w:pict>
        <v:shape style="position:absolute;margin-left:58.52417pt;margin-top:64.313232pt;width:106.5pt;height:13.1pt;mso-position-horizontal-relative:page;mso-position-vertical-relative:page;z-index:-15960064" type="#_x0000_t202" filled="false" stroked="false">
          <v:textbox inset="0,0,0,0">
            <w:txbxContent>
              <w:p>
                <w:pPr>
                  <w:spacing w:before="11"/>
                  <w:ind w:left="20" w:right="0" w:firstLine="0"/>
                  <w:jc w:val="left"/>
                  <w:rPr>
                    <w:i/>
                    <w:sz w:val="20"/>
                  </w:rPr>
                </w:pPr>
                <w:r>
                  <w:rPr>
                    <w:i/>
                    <w:color w:val="231F20"/>
                    <w:sz w:val="20"/>
                  </w:rPr>
                  <w:t>Mohammed Adawi, et al.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402" w:hanging="295"/>
        <w:jc w:val="left"/>
      </w:pPr>
      <w:rPr>
        <w:rFonts w:hint="default" w:ascii="Times New Roman" w:hAnsi="Times New Roman" w:eastAsia="Times New Roman" w:cs="Times New Roman"/>
        <w:color w:val="231F20"/>
        <w:w w:val="100"/>
        <w:sz w:val="18"/>
        <w:szCs w:val="18"/>
        <w:lang w:val="en-US" w:eastAsia="en-US" w:bidi="ar-SA"/>
      </w:rPr>
    </w:lvl>
    <w:lvl w:ilvl="1">
      <w:start w:val="0"/>
      <w:numFmt w:val="bullet"/>
      <w:lvlText w:val="•"/>
      <w:lvlJc w:val="left"/>
      <w:pPr>
        <w:ind w:left="837" w:hanging="295"/>
      </w:pPr>
      <w:rPr>
        <w:rFonts w:hint="default"/>
        <w:lang w:val="en-US" w:eastAsia="en-US" w:bidi="ar-SA"/>
      </w:rPr>
    </w:lvl>
    <w:lvl w:ilvl="2">
      <w:start w:val="0"/>
      <w:numFmt w:val="bullet"/>
      <w:lvlText w:val="•"/>
      <w:lvlJc w:val="left"/>
      <w:pPr>
        <w:ind w:left="1274" w:hanging="295"/>
      </w:pPr>
      <w:rPr>
        <w:rFonts w:hint="default"/>
        <w:lang w:val="en-US" w:eastAsia="en-US" w:bidi="ar-SA"/>
      </w:rPr>
    </w:lvl>
    <w:lvl w:ilvl="3">
      <w:start w:val="0"/>
      <w:numFmt w:val="bullet"/>
      <w:lvlText w:val="•"/>
      <w:lvlJc w:val="left"/>
      <w:pPr>
        <w:ind w:left="1711" w:hanging="295"/>
      </w:pPr>
      <w:rPr>
        <w:rFonts w:hint="default"/>
        <w:lang w:val="en-US" w:eastAsia="en-US" w:bidi="ar-SA"/>
      </w:rPr>
    </w:lvl>
    <w:lvl w:ilvl="4">
      <w:start w:val="0"/>
      <w:numFmt w:val="bullet"/>
      <w:lvlText w:val="•"/>
      <w:lvlJc w:val="left"/>
      <w:pPr>
        <w:ind w:left="2148" w:hanging="295"/>
      </w:pPr>
      <w:rPr>
        <w:rFonts w:hint="default"/>
        <w:lang w:val="en-US" w:eastAsia="en-US" w:bidi="ar-SA"/>
      </w:rPr>
    </w:lvl>
    <w:lvl w:ilvl="5">
      <w:start w:val="0"/>
      <w:numFmt w:val="bullet"/>
      <w:lvlText w:val="•"/>
      <w:lvlJc w:val="left"/>
      <w:pPr>
        <w:ind w:left="2585" w:hanging="295"/>
      </w:pPr>
      <w:rPr>
        <w:rFonts w:hint="default"/>
        <w:lang w:val="en-US" w:eastAsia="en-US" w:bidi="ar-SA"/>
      </w:rPr>
    </w:lvl>
    <w:lvl w:ilvl="6">
      <w:start w:val="0"/>
      <w:numFmt w:val="bullet"/>
      <w:lvlText w:val="•"/>
      <w:lvlJc w:val="left"/>
      <w:pPr>
        <w:ind w:left="3022" w:hanging="295"/>
      </w:pPr>
      <w:rPr>
        <w:rFonts w:hint="default"/>
        <w:lang w:val="en-US" w:eastAsia="en-US" w:bidi="ar-SA"/>
      </w:rPr>
    </w:lvl>
    <w:lvl w:ilvl="7">
      <w:start w:val="0"/>
      <w:numFmt w:val="bullet"/>
      <w:lvlText w:val="•"/>
      <w:lvlJc w:val="left"/>
      <w:pPr>
        <w:ind w:left="3459" w:hanging="295"/>
      </w:pPr>
      <w:rPr>
        <w:rFonts w:hint="default"/>
        <w:lang w:val="en-US" w:eastAsia="en-US" w:bidi="ar-SA"/>
      </w:rPr>
    </w:lvl>
    <w:lvl w:ilvl="8">
      <w:start w:val="0"/>
      <w:numFmt w:val="bullet"/>
      <w:lvlText w:val="•"/>
      <w:lvlJc w:val="left"/>
      <w:pPr>
        <w:ind w:left="3896" w:hanging="295"/>
      </w:pPr>
      <w:rPr>
        <w:rFonts w:hint="default"/>
        <w:lang w:val="en-US" w:eastAsia="en-US" w:bidi="ar-SA"/>
      </w:rPr>
    </w:lvl>
  </w:abstractNum>
  <w:abstractNum w:abstractNumId="0">
    <w:multiLevelType w:val="hybridMultilevel"/>
    <w:lvl w:ilvl="0">
      <w:start w:val="1"/>
      <w:numFmt w:val="upperLetter"/>
      <w:lvlText w:val="(%1)"/>
      <w:lvlJc w:val="left"/>
      <w:pPr>
        <w:ind w:left="6514" w:hanging="323"/>
        <w:jc w:val="left"/>
      </w:pPr>
      <w:rPr>
        <w:rFonts w:hint="default" w:ascii="Times New Roman" w:hAnsi="Times New Roman" w:eastAsia="Times New Roman" w:cs="Times New Roman"/>
        <w:color w:val="231F20"/>
        <w:spacing w:val="0"/>
        <w:w w:val="100"/>
        <w:sz w:val="18"/>
        <w:szCs w:val="18"/>
        <w:lang w:val="en-US" w:eastAsia="en-US" w:bidi="ar-SA"/>
      </w:rPr>
    </w:lvl>
    <w:lvl w:ilvl="1">
      <w:start w:val="1"/>
      <w:numFmt w:val="upperLetter"/>
      <w:lvlText w:val="(%2)"/>
      <w:lvlJc w:val="left"/>
      <w:pPr>
        <w:ind w:left="7370" w:hanging="287"/>
        <w:jc w:val="left"/>
      </w:pPr>
      <w:rPr>
        <w:rFonts w:hint="default" w:ascii="Times New Roman" w:hAnsi="Times New Roman" w:eastAsia="Times New Roman" w:cs="Times New Roman"/>
        <w:color w:val="231F20"/>
        <w:spacing w:val="0"/>
        <w:w w:val="100"/>
        <w:sz w:val="18"/>
        <w:szCs w:val="18"/>
        <w:lang w:val="en-US" w:eastAsia="en-US" w:bidi="ar-SA"/>
      </w:rPr>
    </w:lvl>
    <w:lvl w:ilvl="2">
      <w:start w:val="0"/>
      <w:numFmt w:val="bullet"/>
      <w:lvlText w:val="•"/>
      <w:lvlJc w:val="left"/>
      <w:pPr>
        <w:ind w:left="7644" w:hanging="287"/>
      </w:pPr>
      <w:rPr>
        <w:rFonts w:hint="default"/>
        <w:lang w:val="en-US" w:eastAsia="en-US" w:bidi="ar-SA"/>
      </w:rPr>
    </w:lvl>
    <w:lvl w:ilvl="3">
      <w:start w:val="0"/>
      <w:numFmt w:val="bullet"/>
      <w:lvlText w:val="•"/>
      <w:lvlJc w:val="left"/>
      <w:pPr>
        <w:ind w:left="7908" w:hanging="287"/>
      </w:pPr>
      <w:rPr>
        <w:rFonts w:hint="default"/>
        <w:lang w:val="en-US" w:eastAsia="en-US" w:bidi="ar-SA"/>
      </w:rPr>
    </w:lvl>
    <w:lvl w:ilvl="4">
      <w:start w:val="0"/>
      <w:numFmt w:val="bullet"/>
      <w:lvlText w:val="•"/>
      <w:lvlJc w:val="left"/>
      <w:pPr>
        <w:ind w:left="8173" w:hanging="287"/>
      </w:pPr>
      <w:rPr>
        <w:rFonts w:hint="default"/>
        <w:lang w:val="en-US" w:eastAsia="en-US" w:bidi="ar-SA"/>
      </w:rPr>
    </w:lvl>
    <w:lvl w:ilvl="5">
      <w:start w:val="0"/>
      <w:numFmt w:val="bullet"/>
      <w:lvlText w:val="•"/>
      <w:lvlJc w:val="left"/>
      <w:pPr>
        <w:ind w:left="8437" w:hanging="287"/>
      </w:pPr>
      <w:rPr>
        <w:rFonts w:hint="default"/>
        <w:lang w:val="en-US" w:eastAsia="en-US" w:bidi="ar-SA"/>
      </w:rPr>
    </w:lvl>
    <w:lvl w:ilvl="6">
      <w:start w:val="0"/>
      <w:numFmt w:val="bullet"/>
      <w:lvlText w:val="•"/>
      <w:lvlJc w:val="left"/>
      <w:pPr>
        <w:ind w:left="8702" w:hanging="287"/>
      </w:pPr>
      <w:rPr>
        <w:rFonts w:hint="default"/>
        <w:lang w:val="en-US" w:eastAsia="en-US" w:bidi="ar-SA"/>
      </w:rPr>
    </w:lvl>
    <w:lvl w:ilvl="7">
      <w:start w:val="0"/>
      <w:numFmt w:val="bullet"/>
      <w:lvlText w:val="•"/>
      <w:lvlJc w:val="left"/>
      <w:pPr>
        <w:ind w:left="8966" w:hanging="287"/>
      </w:pPr>
      <w:rPr>
        <w:rFonts w:hint="default"/>
        <w:lang w:val="en-US" w:eastAsia="en-US" w:bidi="ar-SA"/>
      </w:rPr>
    </w:lvl>
    <w:lvl w:ilvl="8">
      <w:start w:val="0"/>
      <w:numFmt w:val="bullet"/>
      <w:lvlText w:val="•"/>
      <w:lvlJc w:val="left"/>
      <w:pPr>
        <w:ind w:left="9231" w:hanging="287"/>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spacing w:before="91"/>
      <w:ind w:left="1315"/>
      <w:jc w:val="center"/>
      <w:outlineLvl w:val="1"/>
    </w:pPr>
    <w:rPr>
      <w:rFonts w:ascii="Times New Roman" w:hAnsi="Times New Roman" w:eastAsia="Times New Roman" w:cs="Times New Roman"/>
      <w:b/>
      <w:bCs/>
      <w:sz w:val="22"/>
      <w:szCs w:val="22"/>
      <w:lang w:val="en-US" w:eastAsia="en-US" w:bidi="ar-SA"/>
    </w:rPr>
  </w:style>
  <w:style w:styleId="Title" w:type="paragraph">
    <w:name w:val="Title"/>
    <w:basedOn w:val="Normal"/>
    <w:uiPriority w:val="1"/>
    <w:qFormat/>
    <w:pPr>
      <w:ind w:left="110" w:right="737"/>
    </w:pPr>
    <w:rPr>
      <w:rFonts w:ascii="Times New Roman" w:hAnsi="Times New Roman" w:eastAsia="Times New Roman" w:cs="Times New Roman"/>
      <w:b/>
      <w:bCs/>
      <w:sz w:val="32"/>
      <w:szCs w:val="32"/>
      <w:lang w:val="en-US" w:eastAsia="en-US" w:bidi="ar-SA"/>
    </w:rPr>
  </w:style>
  <w:style w:styleId="ListParagraph" w:type="paragraph">
    <w:name w:val="List Paragraph"/>
    <w:basedOn w:val="Normal"/>
    <w:uiPriority w:val="1"/>
    <w:qFormat/>
    <w:pPr>
      <w:spacing w:before="107" w:line="204" w:lineRule="exact"/>
      <w:ind w:left="402" w:hanging="312"/>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http://www.medicaljournalofcairouniversity.net/" TargetMode="External"/><Relationship Id="rId7" Type="http://schemas.openxmlformats.org/officeDocument/2006/relationships/header" Target="header2.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eader" Target="header3.xm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eader" Target="header4.xml"/><Relationship Id="rId20" Type="http://schemas.openxmlformats.org/officeDocument/2006/relationships/header" Target="header5.xml"/><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2022-09-28T09:57:28Z</dcterms:created>
  <dcterms:modified xsi:type="dcterms:W3CDTF">2022-09-28T09:57:28Z</dcterms:modified>
</cp:coreProperties>
</file>